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AD" w:rsidRPr="006B1497" w:rsidRDefault="009A46AD" w:rsidP="009A46AD">
      <w:pPr>
        <w:pStyle w:val="1"/>
        <w:rPr>
          <w:sz w:val="36"/>
        </w:rPr>
      </w:pPr>
      <w:bookmarkStart w:id="0" w:name="_Toc450251080"/>
      <w:r w:rsidRPr="006B1497">
        <w:rPr>
          <w:rFonts w:hint="eastAsia"/>
          <w:sz w:val="36"/>
        </w:rPr>
        <w:t>北京市附件</w:t>
      </w:r>
      <w:r>
        <w:rPr>
          <w:rFonts w:hint="eastAsia"/>
          <w:sz w:val="36"/>
        </w:rPr>
        <w:t>：</w:t>
      </w:r>
      <w:bookmarkEnd w:id="0"/>
    </w:p>
    <w:p w:rsidR="009A46AD" w:rsidRDefault="009A46AD" w:rsidP="009A46AD">
      <w:pPr>
        <w:pStyle w:val="1"/>
        <w:jc w:val="center"/>
      </w:pPr>
      <w:bookmarkStart w:id="1" w:name="_Toc450251081"/>
      <w:r>
        <w:rPr>
          <w:rFonts w:hint="eastAsia"/>
        </w:rPr>
        <w:t>关于建筑业营业税改征增值税调整北京市建设工程计价依据的实施意见</w:t>
      </w:r>
      <w:bookmarkEnd w:id="1"/>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一、实施时间及适用范围</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一）执行《建设工程工程量清单计价规范》、北京市《房屋修缮工程工程量清单计价规范》（以下简称“清单计价规范”）和（或）2012年《北京市建设工程计价依据——预算定额》、2012年《北京市房屋修缮工程计价依据——预算定额》、2014年《北京市城市轨道交通运营改造工程计价依据——预算定额》及配套定额（以下简称“预算定额”）的工程，按以下规定执行：</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1.凡在北京市行政区域内且《建筑工程施工许可证》注明的合同开工日期或未取得《建筑工程施工许可证》的建筑工程承包合同注明的开工日期（以下简称“开工日期”）在2016年5月1日（含）后的房屋建筑和市政基础设施工程（以下简称“建筑工程”），应按本实施意见执行。</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2.开工日期在2016年4月30日前的建筑工程，在符合《关于全面推开营业税改征增值税试点的通知》（财税</w:t>
      </w:r>
      <w:r>
        <w:rPr>
          <w:rFonts w:ascii="宋体" w:hAnsi="宋体" w:hint="eastAsia"/>
          <w:sz w:val="24"/>
        </w:rPr>
        <w:t>[</w:t>
      </w:r>
      <w:r w:rsidRPr="006B1497">
        <w:rPr>
          <w:rFonts w:ascii="宋体" w:hAnsi="宋体" w:hint="eastAsia"/>
          <w:sz w:val="24"/>
        </w:rPr>
        <w:t>2016</w:t>
      </w:r>
      <w:r>
        <w:rPr>
          <w:rFonts w:ascii="宋体" w:hAnsi="宋体" w:hint="eastAsia"/>
          <w:sz w:val="24"/>
        </w:rPr>
        <w:t>]</w:t>
      </w:r>
      <w:r w:rsidRPr="006B1497">
        <w:rPr>
          <w:rFonts w:ascii="宋体" w:hAnsi="宋体" w:hint="eastAsia"/>
          <w:sz w:val="24"/>
        </w:rPr>
        <w:t>36号）等财税文件规定前提下，参照原合同价或营改增前的计价依据执行。</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（二）执行2001年《北京市建设工程预算定额》、2005年《北京市房屋修缮工程预算定额》及配套定额且开工日期在2016年4月30日前的建筑工程，可按原合同价或营改增前的计价依据执行。</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（三）按2004年《北京市建设工程概算定额》及配套定额编制设计概算的建筑工程，按营改增前的计价依据执行。</w:t>
      </w:r>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二、实施依据</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（一）《关于做好建筑业营改增建设工程计价依据调整准备工作的通知》（</w:t>
      </w:r>
      <w:proofErr w:type="gramStart"/>
      <w:r w:rsidRPr="006B1497">
        <w:rPr>
          <w:rFonts w:ascii="宋体" w:hAnsi="宋体" w:hint="eastAsia"/>
          <w:sz w:val="24"/>
        </w:rPr>
        <w:t>建办标</w:t>
      </w:r>
      <w:proofErr w:type="gramEnd"/>
      <w:r>
        <w:rPr>
          <w:rFonts w:ascii="宋体" w:hAnsi="宋体" w:hint="eastAsia"/>
          <w:sz w:val="24"/>
        </w:rPr>
        <w:t>[</w:t>
      </w:r>
      <w:r w:rsidRPr="006B1497">
        <w:rPr>
          <w:rFonts w:ascii="宋体" w:hAnsi="宋体" w:hint="eastAsia"/>
          <w:sz w:val="24"/>
        </w:rPr>
        <w:t>2016</w:t>
      </w:r>
      <w:r>
        <w:rPr>
          <w:rFonts w:ascii="宋体" w:hAnsi="宋体" w:hint="eastAsia"/>
          <w:sz w:val="24"/>
        </w:rPr>
        <w:t>]</w:t>
      </w:r>
      <w:r w:rsidRPr="006B1497">
        <w:rPr>
          <w:rFonts w:ascii="宋体" w:hAnsi="宋体" w:hint="eastAsia"/>
          <w:sz w:val="24"/>
        </w:rPr>
        <w:t>4号）。</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lastRenderedPageBreak/>
        <w:t>（二）《关于全面推开营业税改征增值税试点的通知》（财税</w:t>
      </w:r>
      <w:r>
        <w:rPr>
          <w:rFonts w:ascii="宋体" w:hAnsi="宋体" w:hint="eastAsia"/>
          <w:sz w:val="24"/>
        </w:rPr>
        <w:t>[</w:t>
      </w:r>
      <w:r w:rsidRPr="006B1497">
        <w:rPr>
          <w:rFonts w:ascii="宋体" w:hAnsi="宋体" w:hint="eastAsia"/>
          <w:sz w:val="24"/>
        </w:rPr>
        <w:t>2016</w:t>
      </w:r>
      <w:r>
        <w:rPr>
          <w:rFonts w:ascii="宋体" w:hAnsi="宋体" w:hint="eastAsia"/>
          <w:sz w:val="24"/>
        </w:rPr>
        <w:t>]</w:t>
      </w:r>
      <w:r w:rsidRPr="006B1497">
        <w:rPr>
          <w:rFonts w:ascii="宋体" w:hAnsi="宋体" w:hint="eastAsia"/>
          <w:sz w:val="24"/>
        </w:rPr>
        <w:t>36号）。</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（三）《营业税改征增值税试点方案》（财税</w:t>
      </w:r>
      <w:r>
        <w:rPr>
          <w:rFonts w:ascii="宋体" w:hAnsi="宋体" w:hint="eastAsia"/>
          <w:sz w:val="24"/>
        </w:rPr>
        <w:t>[</w:t>
      </w:r>
      <w:r w:rsidRPr="006B1497">
        <w:rPr>
          <w:rFonts w:ascii="宋体" w:hAnsi="宋体" w:hint="eastAsia"/>
          <w:sz w:val="24"/>
        </w:rPr>
        <w:t>2011</w:t>
      </w:r>
      <w:r>
        <w:rPr>
          <w:rFonts w:ascii="宋体" w:hAnsi="宋体" w:hint="eastAsia"/>
          <w:sz w:val="24"/>
        </w:rPr>
        <w:t>]</w:t>
      </w:r>
      <w:r w:rsidRPr="006B1497">
        <w:rPr>
          <w:rFonts w:ascii="宋体" w:hAnsi="宋体" w:hint="eastAsia"/>
          <w:sz w:val="24"/>
        </w:rPr>
        <w:t>110号）、《关于简并增值税征收率政策的通知》（财税</w:t>
      </w:r>
      <w:r>
        <w:rPr>
          <w:rFonts w:ascii="宋体" w:hAnsi="宋体" w:hint="eastAsia"/>
          <w:sz w:val="24"/>
        </w:rPr>
        <w:t>[</w:t>
      </w:r>
      <w:r w:rsidRPr="006B1497">
        <w:rPr>
          <w:rFonts w:ascii="宋体" w:hAnsi="宋体" w:hint="eastAsia"/>
          <w:sz w:val="24"/>
        </w:rPr>
        <w:t>2014</w:t>
      </w:r>
      <w:r>
        <w:rPr>
          <w:rFonts w:ascii="宋体" w:hAnsi="宋体" w:hint="eastAsia"/>
          <w:sz w:val="24"/>
        </w:rPr>
        <w:t>]</w:t>
      </w:r>
      <w:r w:rsidRPr="006B1497">
        <w:rPr>
          <w:rFonts w:ascii="宋体" w:hAnsi="宋体" w:hint="eastAsia"/>
          <w:sz w:val="24"/>
        </w:rPr>
        <w:t>57号）等。</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（四）现行计价依据，包括清单计价规范、预算定额、造价管理办法等。</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（五）其他有关资料。</w:t>
      </w:r>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三、费用组成内容</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（一）营改增后建筑安装工程费用项目的组成内容除本办法另有规定外，均与预算定额的内容一致。</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（二）企业管理费包括预算定额的原组成内容,城市维护建设税、教育费附加以及地方教育费附加,营改增增加的管理费用等。</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（三）建筑安装工程费用的税金是指国家税法规定应计</w:t>
      </w:r>
      <w:proofErr w:type="gramStart"/>
      <w:r w:rsidRPr="006B1497">
        <w:rPr>
          <w:rFonts w:ascii="宋体" w:hAnsi="宋体" w:hint="eastAsia"/>
          <w:sz w:val="24"/>
        </w:rPr>
        <w:t>入建筑</w:t>
      </w:r>
      <w:proofErr w:type="gramEnd"/>
      <w:r w:rsidRPr="006B1497">
        <w:rPr>
          <w:rFonts w:ascii="宋体" w:hAnsi="宋体" w:hint="eastAsia"/>
          <w:sz w:val="24"/>
        </w:rPr>
        <w:t>安装工程造价内的增值税销项税额。</w:t>
      </w:r>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四、其他有关说明</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（一）预算定额的调整内容是根据营改增调整依据的规定和要求等修订完成，不改变清单计价规范和预算定额的作用、适用范围及费用计价程序等。预算定额依据“价税分离”计价规则调整的相关内容详见附件。</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（二）2012年《北京市房屋修缮工程计价依据——预算定额》古建筑工程各费用项目的计费基数均做调整，调整的计费基数详见附件。</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（三）预算定额的调整内容对应定额编制期的除</w:t>
      </w:r>
      <w:proofErr w:type="gramStart"/>
      <w:r w:rsidRPr="006B1497">
        <w:rPr>
          <w:rFonts w:ascii="宋体" w:hAnsi="宋体" w:hint="eastAsia"/>
          <w:sz w:val="24"/>
        </w:rPr>
        <w:t>税价格</w:t>
      </w:r>
      <w:proofErr w:type="gramEnd"/>
      <w:r w:rsidRPr="006B1497">
        <w:rPr>
          <w:rFonts w:ascii="宋体" w:hAnsi="宋体" w:hint="eastAsia"/>
          <w:sz w:val="24"/>
        </w:rPr>
        <w:t>及费率。</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（四）建筑业营改增后，工程造价按“价税分离”计价规则计算，具体要素价格适用增值税税率执行财税部门的相关规定。税前工程造价为人工费、材料费、施工机具使用费、企业管理费、利润和</w:t>
      </w:r>
      <w:proofErr w:type="gramStart"/>
      <w:r w:rsidRPr="006B1497">
        <w:rPr>
          <w:rFonts w:ascii="宋体" w:hAnsi="宋体" w:hint="eastAsia"/>
          <w:sz w:val="24"/>
        </w:rPr>
        <w:t>规费</w:t>
      </w:r>
      <w:proofErr w:type="gramEnd"/>
      <w:r w:rsidRPr="006B1497">
        <w:rPr>
          <w:rFonts w:ascii="宋体" w:hAnsi="宋体" w:hint="eastAsia"/>
          <w:sz w:val="24"/>
        </w:rPr>
        <w:t>之和，各费用项目均以不包含增值税（可抵扣进项税额）的价格计算。</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（五）建筑业营改增后建设工程</w:t>
      </w:r>
      <w:proofErr w:type="gramStart"/>
      <w:r w:rsidRPr="006B1497">
        <w:rPr>
          <w:rFonts w:ascii="宋体" w:hAnsi="宋体" w:hint="eastAsia"/>
          <w:sz w:val="24"/>
        </w:rPr>
        <w:t>发承包</w:t>
      </w:r>
      <w:proofErr w:type="gramEnd"/>
      <w:r w:rsidRPr="006B1497">
        <w:rPr>
          <w:rFonts w:ascii="宋体" w:hAnsi="宋体" w:hint="eastAsia"/>
          <w:sz w:val="24"/>
        </w:rPr>
        <w:t>及实施阶段的计价活动，适用一般计税方法计税的建筑工程执行“价税分离”计价规则；选择适用简易计税方法计税的建筑工程参照原合同价或营改增前的计价依据执行，并执行财税部门的规定。</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（六）材料（设备）暂估价、确认价均应为除</w:t>
      </w:r>
      <w:proofErr w:type="gramStart"/>
      <w:r w:rsidRPr="006B1497">
        <w:rPr>
          <w:rFonts w:ascii="宋体" w:hAnsi="宋体" w:hint="eastAsia"/>
          <w:sz w:val="24"/>
        </w:rPr>
        <w:t>税单价</w:t>
      </w:r>
      <w:proofErr w:type="gramEnd"/>
      <w:r w:rsidRPr="006B1497">
        <w:rPr>
          <w:rFonts w:ascii="宋体" w:hAnsi="宋体" w:hint="eastAsia"/>
          <w:sz w:val="24"/>
        </w:rPr>
        <w:t>,结算价格差额只计取税金。专业工程暂估价应为营改增后的工程造价。</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lastRenderedPageBreak/>
        <w:t>（七）总承包工程合同项下的专业分包工程、材料（设备）按照总承包工程合同的计价规则执行。专业承包工程合同项下材料（设备）按照专业承包工程合同的计价规则执行。</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（八）风险幅度确定原则：风险幅度均以材料（设备）、施工机具台班等对应除</w:t>
      </w:r>
      <w:proofErr w:type="gramStart"/>
      <w:r w:rsidRPr="006B1497">
        <w:rPr>
          <w:rFonts w:ascii="宋体" w:hAnsi="宋体" w:hint="eastAsia"/>
          <w:sz w:val="24"/>
        </w:rPr>
        <w:t>税单价</w:t>
      </w:r>
      <w:proofErr w:type="gramEnd"/>
      <w:r w:rsidRPr="006B1497">
        <w:rPr>
          <w:rFonts w:ascii="宋体" w:hAnsi="宋体" w:hint="eastAsia"/>
          <w:sz w:val="24"/>
        </w:rPr>
        <w:t>为依据计算。</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（九）《北京工程造价信息》（营改增版）中的除税材料（设备）市场信息价格，包括除税的材料（设备）原价、运杂费、运输损耗费和采购及保管费。</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五、现行造价管理办法中与本实施意见内容不一致的地方，以本实施意见为准。</w:t>
      </w:r>
    </w:p>
    <w:p w:rsidR="009A46AD" w:rsidRPr="006B1497" w:rsidRDefault="009A46AD" w:rsidP="009A46AD">
      <w:pPr>
        <w:spacing w:line="360" w:lineRule="auto"/>
        <w:ind w:firstLineChars="200" w:firstLine="480"/>
        <w:rPr>
          <w:rFonts w:ascii="宋体" w:hAnsi="宋体"/>
          <w:sz w:val="24"/>
        </w:rPr>
      </w:pPr>
      <w:r w:rsidRPr="006B1497">
        <w:rPr>
          <w:rFonts w:ascii="宋体" w:hAnsi="宋体" w:hint="eastAsia"/>
          <w:sz w:val="24"/>
        </w:rPr>
        <w:t>六、本实施意见自发布之日起执行，尚未开标且不能在2016年4月30日前完成合同签订的依法进行招标的项目，招标文件及招标控制价编制均应按本实施意见要求执行。</w:t>
      </w:r>
    </w:p>
    <w:p w:rsidR="009A46AD" w:rsidRPr="006B1497" w:rsidRDefault="009A46AD" w:rsidP="009A46AD">
      <w:pPr>
        <w:spacing w:line="360" w:lineRule="auto"/>
        <w:ind w:firstLineChars="200" w:firstLine="482"/>
        <w:rPr>
          <w:rFonts w:ascii="宋体" w:hAnsi="宋体"/>
          <w:b/>
          <w:sz w:val="24"/>
        </w:rPr>
      </w:pPr>
      <w:r w:rsidRPr="006B1497">
        <w:rPr>
          <w:rFonts w:ascii="宋体" w:hAnsi="宋体" w:hint="eastAsia"/>
          <w:b/>
          <w:sz w:val="24"/>
        </w:rPr>
        <w:t>附件：</w:t>
      </w:r>
      <w:proofErr w:type="gramStart"/>
      <w:r w:rsidRPr="006B1497">
        <w:rPr>
          <w:rFonts w:ascii="宋体" w:hAnsi="宋体" w:hint="eastAsia"/>
          <w:b/>
          <w:sz w:val="24"/>
        </w:rPr>
        <w:t>建筑业营改增建</w:t>
      </w:r>
      <w:proofErr w:type="gramEnd"/>
      <w:r w:rsidRPr="006B1497">
        <w:rPr>
          <w:rFonts w:ascii="宋体" w:hAnsi="宋体" w:hint="eastAsia"/>
          <w:b/>
          <w:sz w:val="24"/>
        </w:rPr>
        <w:t>设工程计价依据调整表</w:t>
      </w:r>
    </w:p>
    <w:p w:rsidR="009A46AD" w:rsidRPr="006B1497" w:rsidRDefault="009A46AD" w:rsidP="009A46AD">
      <w:pPr>
        <w:pStyle w:val="1"/>
        <w:rPr>
          <w:sz w:val="36"/>
        </w:rPr>
      </w:pPr>
      <w:r>
        <w:rPr>
          <w:rFonts w:ascii="宋体" w:hAnsi="宋体"/>
          <w:sz w:val="24"/>
        </w:rPr>
        <w:br w:type="page"/>
      </w:r>
      <w:bookmarkStart w:id="2" w:name="_Toc450251082"/>
      <w:r w:rsidRPr="00F83B05">
        <w:rPr>
          <w:rFonts w:hint="eastAsia"/>
          <w:sz w:val="36"/>
        </w:rPr>
        <w:lastRenderedPageBreak/>
        <w:t>北京市</w:t>
      </w:r>
      <w:r w:rsidRPr="006B1497">
        <w:rPr>
          <w:rFonts w:hint="eastAsia"/>
          <w:sz w:val="36"/>
        </w:rPr>
        <w:t>附件</w:t>
      </w:r>
      <w:r>
        <w:rPr>
          <w:rFonts w:hint="eastAsia"/>
          <w:sz w:val="36"/>
        </w:rPr>
        <w:t>1</w:t>
      </w:r>
      <w:r>
        <w:rPr>
          <w:rFonts w:hint="eastAsia"/>
          <w:sz w:val="36"/>
        </w:rPr>
        <w:t>：</w:t>
      </w:r>
      <w:bookmarkEnd w:id="2"/>
    </w:p>
    <w:p w:rsidR="009A46AD" w:rsidRPr="006B1497" w:rsidRDefault="009A46AD" w:rsidP="009A46AD">
      <w:pPr>
        <w:pStyle w:val="1"/>
        <w:jc w:val="center"/>
      </w:pPr>
      <w:bookmarkStart w:id="3" w:name="_Toc450251083"/>
      <w:proofErr w:type="gramStart"/>
      <w:r w:rsidRPr="006B1497">
        <w:rPr>
          <w:rFonts w:hint="eastAsia"/>
        </w:rPr>
        <w:t>建筑业营改增建</w:t>
      </w:r>
      <w:proofErr w:type="gramEnd"/>
      <w:r w:rsidRPr="006B1497">
        <w:rPr>
          <w:rFonts w:hint="eastAsia"/>
        </w:rPr>
        <w:t>设工程计价依据调整表</w:t>
      </w:r>
      <w:bookmarkEnd w:id="3"/>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一、以“元”为单位的要素价格</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223"/>
        <w:gridCol w:w="716"/>
        <w:gridCol w:w="4746"/>
      </w:tblGrid>
      <w:tr w:rsidR="009A46AD" w:rsidRPr="006B1497" w:rsidTr="00A553A5">
        <w:trPr>
          <w:trHeight w:val="397"/>
          <w:jc w:val="center"/>
        </w:trPr>
        <w:tc>
          <w:tcPr>
            <w:tcW w:w="4386" w:type="dxa"/>
            <w:gridSpan w:val="2"/>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项目名称</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单位</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调整方法</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840027</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摊销材料费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以各定额子目的数量为基数×89.3%</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840028</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租赁材料费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以各定额子目的数量为基数×90.7%</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840004</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其他材料费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以各定额子目的数量为基数×96.6%</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840016</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机械费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以各定额子目的数量为基数×94.7%</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840023</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其他机具费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以各定额子目的数量为基数×94.7%</w:t>
            </w:r>
          </w:p>
        </w:tc>
      </w:tr>
      <w:tr w:rsidR="009A46AD" w:rsidRPr="006B1497" w:rsidTr="00A553A5">
        <w:trPr>
          <w:trHeight w:val="397"/>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888810</w:t>
            </w: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中小型机械费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以各定额子目的数量为基数×94.7%</w:t>
            </w:r>
          </w:p>
        </w:tc>
      </w:tr>
      <w:tr w:rsidR="009A46AD" w:rsidRPr="006B1497" w:rsidTr="00A553A5">
        <w:trPr>
          <w:trHeight w:val="1082"/>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p>
        </w:tc>
        <w:tc>
          <w:tcPr>
            <w:tcW w:w="3223"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03通用安装工程第一册第573页：金属桅杆及人字架等一般起重机具的摊销费</w:t>
            </w:r>
          </w:p>
        </w:tc>
        <w:tc>
          <w:tcPr>
            <w:tcW w:w="71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jc w:val="center"/>
              <w:rPr>
                <w:rFonts w:ascii="宋体" w:hAnsi="宋体"/>
                <w:sz w:val="22"/>
              </w:rPr>
            </w:pPr>
            <w:r w:rsidRPr="006B1497">
              <w:rPr>
                <w:rFonts w:ascii="宋体" w:hAnsi="宋体" w:hint="eastAsia"/>
                <w:sz w:val="22"/>
              </w:rPr>
              <w:t>元</w:t>
            </w:r>
          </w:p>
        </w:tc>
        <w:tc>
          <w:tcPr>
            <w:tcW w:w="4746" w:type="dxa"/>
            <w:tcBorders>
              <w:top w:val="single" w:sz="4" w:space="0" w:color="auto"/>
              <w:left w:val="single" w:sz="4" w:space="0" w:color="auto"/>
              <w:bottom w:val="single" w:sz="4" w:space="0" w:color="auto"/>
              <w:right w:val="single" w:sz="4" w:space="0" w:color="auto"/>
            </w:tcBorders>
            <w:vAlign w:val="center"/>
            <w:hideMark/>
          </w:tcPr>
          <w:p w:rsidR="009A46AD" w:rsidRPr="006B1497" w:rsidRDefault="009A46AD" w:rsidP="00A553A5">
            <w:pPr>
              <w:rPr>
                <w:rFonts w:ascii="宋体" w:hAnsi="宋体"/>
                <w:sz w:val="22"/>
              </w:rPr>
            </w:pPr>
            <w:r w:rsidRPr="006B1497">
              <w:rPr>
                <w:rFonts w:ascii="宋体" w:hAnsi="宋体" w:hint="eastAsia"/>
                <w:sz w:val="22"/>
              </w:rPr>
              <w:t>按所安装设备净重量</w:t>
            </w:r>
            <w:r>
              <w:rPr>
                <w:rFonts w:ascii="宋体" w:hAnsi="宋体" w:hint="eastAsia"/>
                <w:sz w:val="22"/>
              </w:rPr>
              <w:t>（</w:t>
            </w:r>
            <w:r w:rsidRPr="006B1497">
              <w:rPr>
                <w:rFonts w:ascii="宋体" w:hAnsi="宋体" w:hint="eastAsia"/>
                <w:sz w:val="22"/>
              </w:rPr>
              <w:t>包括设备底座、辅机</w:t>
            </w:r>
            <w:r>
              <w:rPr>
                <w:rFonts w:ascii="宋体" w:hAnsi="宋体" w:hint="eastAsia"/>
                <w:sz w:val="22"/>
              </w:rPr>
              <w:t>）</w:t>
            </w:r>
            <w:r w:rsidRPr="006B1497">
              <w:rPr>
                <w:rFonts w:ascii="宋体" w:hAnsi="宋体" w:hint="eastAsia"/>
                <w:sz w:val="22"/>
              </w:rPr>
              <w:t>计算,按11.36元/吨计取,列入措施项目费用中。</w:t>
            </w:r>
          </w:p>
        </w:tc>
      </w:tr>
    </w:tbl>
    <w:p w:rsidR="009A46AD" w:rsidRPr="00914C3C" w:rsidRDefault="009A46AD" w:rsidP="009A46AD">
      <w:pPr>
        <w:spacing w:line="276" w:lineRule="auto"/>
        <w:rPr>
          <w:rFonts w:ascii="宋体" w:hAnsi="宋体"/>
        </w:rPr>
      </w:pPr>
      <w:r w:rsidRPr="00914C3C">
        <w:rPr>
          <w:rFonts w:ascii="宋体" w:hAnsi="宋体" w:hint="eastAsia"/>
        </w:rPr>
        <w:t>说明：调整系数适用2012年《北京市建设工程计价依据——预算定额》、2012年《北京市房屋修缮工程计价依据——预算定额》、2014年《北京市城市轨道交通运营改造工程计价依据——预算定额》中对应编码的要素数量调整。</w:t>
      </w:r>
    </w:p>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二、2012年《北京市建设工程计价依据——预算定额》</w:t>
      </w:r>
    </w:p>
    <w:p w:rsidR="009A46AD" w:rsidRPr="006B1497" w:rsidRDefault="009A46AD" w:rsidP="009A46AD">
      <w:pPr>
        <w:spacing w:line="360" w:lineRule="auto"/>
        <w:jc w:val="center"/>
        <w:rPr>
          <w:rFonts w:ascii="黑体" w:eastAsia="黑体" w:hAnsi="黑体"/>
          <w:sz w:val="24"/>
          <w:szCs w:val="32"/>
        </w:rPr>
      </w:pPr>
      <w:r w:rsidRPr="006B1497">
        <w:rPr>
          <w:rFonts w:ascii="黑体" w:eastAsia="黑体" w:hAnsi="黑体" w:hint="eastAsia"/>
          <w:sz w:val="24"/>
          <w:szCs w:val="32"/>
        </w:rPr>
        <w:t>01 房屋建筑与装饰工程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113"/>
        <w:gridCol w:w="824"/>
        <w:gridCol w:w="707"/>
        <w:gridCol w:w="115"/>
        <w:gridCol w:w="592"/>
        <w:gridCol w:w="230"/>
        <w:gridCol w:w="6"/>
        <w:gridCol w:w="709"/>
        <w:gridCol w:w="108"/>
        <w:gridCol w:w="729"/>
        <w:gridCol w:w="93"/>
        <w:gridCol w:w="614"/>
        <w:gridCol w:w="208"/>
        <w:gridCol w:w="499"/>
        <w:gridCol w:w="324"/>
        <w:gridCol w:w="383"/>
        <w:gridCol w:w="439"/>
        <w:gridCol w:w="317"/>
        <w:gridCol w:w="505"/>
        <w:gridCol w:w="823"/>
      </w:tblGrid>
      <w:tr w:rsidR="009A46AD" w:rsidRPr="00914C3C" w:rsidTr="00A553A5">
        <w:trPr>
          <w:trHeight w:val="341"/>
          <w:jc w:val="center"/>
        </w:trPr>
        <w:tc>
          <w:tcPr>
            <w:tcW w:w="16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项目名称</w:t>
            </w:r>
          </w:p>
        </w:tc>
        <w:tc>
          <w:tcPr>
            <w:tcW w:w="4727" w:type="dxa"/>
            <w:gridSpan w:val="11"/>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建筑装饰工程</w:t>
            </w:r>
          </w:p>
        </w:tc>
        <w:tc>
          <w:tcPr>
            <w:tcW w:w="141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钢结构工程</w:t>
            </w:r>
          </w:p>
        </w:tc>
        <w:tc>
          <w:tcPr>
            <w:tcW w:w="208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其他工程</w:t>
            </w:r>
          </w:p>
        </w:tc>
      </w:tr>
      <w:tr w:rsidR="009A46AD" w:rsidRPr="00914C3C" w:rsidTr="00A553A5">
        <w:trPr>
          <w:trHeight w:val="341"/>
          <w:jc w:val="center"/>
        </w:trPr>
        <w:tc>
          <w:tcPr>
            <w:tcW w:w="1625"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4727" w:type="dxa"/>
            <w:gridSpan w:val="11"/>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建筑面积（m2）</w:t>
            </w:r>
          </w:p>
        </w:tc>
        <w:tc>
          <w:tcPr>
            <w:tcW w:w="1414" w:type="dxa"/>
            <w:gridSpan w:val="4"/>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2084" w:type="dxa"/>
            <w:gridSpan w:val="4"/>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r>
      <w:tr w:rsidR="009A46AD" w:rsidRPr="00914C3C" w:rsidTr="00A553A5">
        <w:trPr>
          <w:trHeight w:val="341"/>
          <w:jc w:val="center"/>
        </w:trPr>
        <w:tc>
          <w:tcPr>
            <w:tcW w:w="1625"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20000以内</w:t>
            </w:r>
          </w:p>
        </w:tc>
        <w:tc>
          <w:tcPr>
            <w:tcW w:w="1652" w:type="dxa"/>
            <w:gridSpan w:val="5"/>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50000以内</w:t>
            </w:r>
          </w:p>
        </w:tc>
        <w:tc>
          <w:tcPr>
            <w:tcW w:w="1544" w:type="dxa"/>
            <w:gridSpan w:val="4"/>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50000以外</w:t>
            </w:r>
          </w:p>
        </w:tc>
        <w:tc>
          <w:tcPr>
            <w:tcW w:w="1414" w:type="dxa"/>
            <w:gridSpan w:val="4"/>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2084" w:type="dxa"/>
            <w:gridSpan w:val="4"/>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r>
      <w:tr w:rsidR="009A46AD" w:rsidRPr="00914C3C" w:rsidTr="00A553A5">
        <w:trPr>
          <w:trHeight w:val="632"/>
          <w:jc w:val="center"/>
        </w:trPr>
        <w:tc>
          <w:tcPr>
            <w:tcW w:w="1625"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left"/>
              <w:rPr>
                <w:sz w:val="20"/>
              </w:rPr>
            </w:pPr>
            <w:r w:rsidRPr="00914C3C">
              <w:rPr>
                <w:rFonts w:hint="eastAsia"/>
                <w:sz w:val="20"/>
              </w:rPr>
              <w:t>五环路以内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五环路以外</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五环路以内</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五环路以外</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五环路以外</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五环路以外</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五环路以内</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spacing w:line="280" w:lineRule="atLeast"/>
              <w:jc w:val="left"/>
              <w:rPr>
                <w:rFonts w:ascii="宋体" w:hAnsi="宋体"/>
                <w:sz w:val="20"/>
                <w:szCs w:val="21"/>
              </w:rPr>
            </w:pPr>
            <w:r w:rsidRPr="00914C3C">
              <w:rPr>
                <w:rFonts w:ascii="宋体" w:hAnsi="宋体" w:hint="eastAsia"/>
                <w:sz w:val="20"/>
                <w:szCs w:val="21"/>
              </w:rPr>
              <w:t>五环路以外</w:t>
            </w:r>
          </w:p>
        </w:tc>
      </w:tr>
      <w:tr w:rsidR="009A46AD" w:rsidRPr="00914C3C" w:rsidTr="00A553A5">
        <w:trPr>
          <w:trHeight w:val="341"/>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计费基数</w:t>
            </w:r>
          </w:p>
        </w:tc>
        <w:tc>
          <w:tcPr>
            <w:tcW w:w="8225" w:type="dxa"/>
            <w:gridSpan w:val="19"/>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以第一章至第十七章的相应部分除</w:t>
            </w:r>
            <w:proofErr w:type="gramStart"/>
            <w:r w:rsidRPr="00914C3C">
              <w:rPr>
                <w:rFonts w:ascii="宋体" w:hAnsi="宋体" w:hint="eastAsia"/>
                <w:szCs w:val="21"/>
              </w:rPr>
              <w:t>税预算</w:t>
            </w:r>
            <w:proofErr w:type="gramEnd"/>
            <w:r w:rsidRPr="00914C3C">
              <w:rPr>
                <w:rFonts w:ascii="宋体" w:hAnsi="宋体" w:hint="eastAsia"/>
                <w:szCs w:val="21"/>
              </w:rPr>
              <w:t>价为基数（不得重复）计算</w:t>
            </w:r>
          </w:p>
        </w:tc>
      </w:tr>
      <w:tr w:rsidR="009A46AD" w:rsidRPr="00914C3C" w:rsidTr="00A553A5">
        <w:trPr>
          <w:trHeight w:val="341"/>
          <w:jc w:val="center"/>
        </w:trPr>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费率（%）</w:t>
            </w: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5.54</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4.93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5.35</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4.75</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4.88</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4.47</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4.02</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3.73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3.69</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3.63</w:t>
            </w:r>
          </w:p>
        </w:tc>
      </w:tr>
      <w:tr w:rsidR="009A46AD" w:rsidRPr="00914C3C" w:rsidTr="00A553A5">
        <w:trPr>
          <w:trHeight w:val="341"/>
          <w:jc w:val="center"/>
        </w:trPr>
        <w:tc>
          <w:tcPr>
            <w:tcW w:w="51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其中</w:t>
            </w:r>
          </w:p>
        </w:tc>
        <w:tc>
          <w:tcPr>
            <w:tcW w:w="11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环境保护</w:t>
            </w: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1.16</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1.17</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1.15</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1.07</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1.05</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0.98</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0.96</w:t>
            </w:r>
          </w:p>
        </w:tc>
      </w:tr>
      <w:tr w:rsidR="009A46AD" w:rsidRPr="00914C3C" w:rsidTr="00A553A5">
        <w:trPr>
          <w:trHeight w:val="341"/>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文明施工</w:t>
            </w: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0.69</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0.66</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0.66</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0.64</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0.64</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0.62</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0.53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0.49</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0.49</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0.47</w:t>
            </w:r>
          </w:p>
        </w:tc>
      </w:tr>
      <w:tr w:rsidR="009A46AD" w:rsidRPr="00914C3C" w:rsidTr="00A553A5">
        <w:trPr>
          <w:trHeight w:val="341"/>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安全施工</w:t>
            </w: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1.33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1.18</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1.27</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1.13</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1.11</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1.02</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1.01</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0.93</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0.92</w:t>
            </w:r>
          </w:p>
        </w:tc>
      </w:tr>
      <w:tr w:rsidR="009A46AD" w:rsidRPr="00914C3C" w:rsidTr="00A553A5">
        <w:trPr>
          <w:trHeight w:val="341"/>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临时设施</w:t>
            </w:r>
          </w:p>
        </w:tc>
        <w:tc>
          <w:tcPr>
            <w:tcW w:w="824"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2.29</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1.89</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2.22</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1.82</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1.96</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1.60</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1.4</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1.18</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1.29</w:t>
            </w:r>
          </w:p>
        </w:tc>
        <w:tc>
          <w:tcPr>
            <w:tcW w:w="82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szCs w:val="21"/>
              </w:rPr>
            </w:pPr>
            <w:r w:rsidRPr="00914C3C">
              <w:rPr>
                <w:rFonts w:ascii="宋体" w:hAnsi="宋体" w:hint="eastAsia"/>
                <w:szCs w:val="21"/>
              </w:rPr>
              <w:t>1.28</w:t>
            </w:r>
          </w:p>
        </w:tc>
      </w:tr>
      <w:tr w:rsidR="009A46AD" w:rsidRPr="00914C3C" w:rsidTr="00A553A5">
        <w:trPr>
          <w:jc w:val="center"/>
        </w:trPr>
        <w:tc>
          <w:tcPr>
            <w:tcW w:w="512" w:type="dxa"/>
            <w:tcBorders>
              <w:top w:val="nil"/>
              <w:left w:val="nil"/>
              <w:bottom w:val="nil"/>
              <w:right w:val="nil"/>
            </w:tcBorders>
            <w:vAlign w:val="center"/>
            <w:hideMark/>
          </w:tcPr>
          <w:p w:rsidR="009A46AD" w:rsidRPr="00914C3C" w:rsidRDefault="009A46AD" w:rsidP="00A553A5">
            <w:pPr>
              <w:rPr>
                <w:rFonts w:ascii="宋体" w:hAnsi="宋体"/>
                <w:szCs w:val="21"/>
              </w:rPr>
            </w:pPr>
          </w:p>
        </w:tc>
        <w:tc>
          <w:tcPr>
            <w:tcW w:w="1113" w:type="dxa"/>
            <w:tcBorders>
              <w:top w:val="nil"/>
              <w:left w:val="nil"/>
              <w:bottom w:val="nil"/>
              <w:right w:val="nil"/>
            </w:tcBorders>
            <w:vAlign w:val="center"/>
            <w:hideMark/>
          </w:tcPr>
          <w:p w:rsidR="009A46AD" w:rsidRPr="00914C3C" w:rsidRDefault="009A46AD" w:rsidP="00A553A5">
            <w:pPr>
              <w:rPr>
                <w:rFonts w:ascii="宋体" w:hAnsi="宋体"/>
                <w:szCs w:val="21"/>
              </w:rPr>
            </w:pPr>
          </w:p>
        </w:tc>
        <w:tc>
          <w:tcPr>
            <w:tcW w:w="824" w:type="dxa"/>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7" w:type="dxa"/>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7"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236"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9" w:type="dxa"/>
            <w:tcBorders>
              <w:top w:val="nil"/>
              <w:left w:val="nil"/>
              <w:bottom w:val="nil"/>
              <w:right w:val="nil"/>
            </w:tcBorders>
            <w:vAlign w:val="center"/>
            <w:hideMark/>
          </w:tcPr>
          <w:p w:rsidR="009A46AD" w:rsidRPr="00914C3C" w:rsidRDefault="009A46AD" w:rsidP="00A553A5">
            <w:pPr>
              <w:rPr>
                <w:rFonts w:ascii="宋体" w:hAnsi="宋体"/>
                <w:szCs w:val="21"/>
              </w:rPr>
            </w:pPr>
          </w:p>
        </w:tc>
        <w:tc>
          <w:tcPr>
            <w:tcW w:w="837"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7"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7"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07"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756"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c>
          <w:tcPr>
            <w:tcW w:w="1328" w:type="dxa"/>
            <w:gridSpan w:val="2"/>
            <w:tcBorders>
              <w:top w:val="nil"/>
              <w:left w:val="nil"/>
              <w:bottom w:val="nil"/>
              <w:right w:val="nil"/>
            </w:tcBorders>
            <w:vAlign w:val="center"/>
            <w:hideMark/>
          </w:tcPr>
          <w:p w:rsidR="009A46AD" w:rsidRPr="00914C3C" w:rsidRDefault="009A46AD" w:rsidP="00A553A5">
            <w:pPr>
              <w:rPr>
                <w:rFonts w:ascii="宋体" w:hAnsi="宋体"/>
                <w:szCs w:val="21"/>
              </w:rPr>
            </w:pP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lastRenderedPageBreak/>
        <w:t>2.企业管理费</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13"/>
        <w:gridCol w:w="447"/>
        <w:gridCol w:w="477"/>
        <w:gridCol w:w="1126"/>
        <w:gridCol w:w="714"/>
        <w:gridCol w:w="1069"/>
        <w:gridCol w:w="1713"/>
        <w:gridCol w:w="2549"/>
      </w:tblGrid>
      <w:tr w:rsidR="009A46AD" w:rsidRPr="00914C3C" w:rsidTr="00A553A5">
        <w:trPr>
          <w:trHeight w:val="348"/>
          <w:jc w:val="center"/>
        </w:trPr>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序号</w:t>
            </w:r>
          </w:p>
        </w:tc>
        <w:tc>
          <w:tcPr>
            <w:tcW w:w="276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项目名称</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计费基数</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企业管理费率（%）</w:t>
            </w:r>
          </w:p>
        </w:tc>
        <w:tc>
          <w:tcPr>
            <w:tcW w:w="4262"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其中</w:t>
            </w:r>
          </w:p>
        </w:tc>
      </w:tr>
      <w:tr w:rsidR="009A46AD" w:rsidRPr="00914C3C" w:rsidTr="00A553A5">
        <w:trPr>
          <w:trHeight w:val="709"/>
          <w:jc w:val="center"/>
        </w:trPr>
        <w:tc>
          <w:tcPr>
            <w:tcW w:w="80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2763" w:type="dxa"/>
            <w:gridSpan w:val="4"/>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现场管理费率（%）</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其中：工程质量检测费率（%）</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单层建筑</w:t>
            </w:r>
          </w:p>
        </w:tc>
        <w:tc>
          <w:tcPr>
            <w:tcW w:w="44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厂房</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跨度18m以内</w:t>
            </w: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除</w:t>
            </w:r>
          </w:p>
          <w:p w:rsidR="009A46AD" w:rsidRPr="00914C3C" w:rsidRDefault="009A46AD" w:rsidP="00A553A5">
            <w:pPr>
              <w:jc w:val="center"/>
              <w:rPr>
                <w:rFonts w:ascii="宋体" w:hAnsi="宋体"/>
                <w:szCs w:val="21"/>
              </w:rPr>
            </w:pPr>
            <w:r w:rsidRPr="00914C3C">
              <w:rPr>
                <w:rFonts w:ascii="宋体" w:hAnsi="宋体" w:hint="eastAsia"/>
                <w:szCs w:val="21"/>
              </w:rPr>
              <w:t>税</w:t>
            </w:r>
          </w:p>
          <w:p w:rsidR="009A46AD" w:rsidRPr="00914C3C" w:rsidRDefault="009A46AD" w:rsidP="00A553A5">
            <w:pPr>
              <w:jc w:val="center"/>
              <w:rPr>
                <w:rFonts w:ascii="宋体" w:hAnsi="宋体"/>
                <w:szCs w:val="21"/>
              </w:rPr>
            </w:pPr>
            <w:r w:rsidRPr="00914C3C">
              <w:rPr>
                <w:rFonts w:ascii="宋体" w:hAnsi="宋体" w:hint="eastAsia"/>
                <w:szCs w:val="21"/>
              </w:rPr>
              <w:t>预</w:t>
            </w:r>
          </w:p>
          <w:p w:rsidR="009A46AD" w:rsidRPr="00914C3C" w:rsidRDefault="009A46AD" w:rsidP="00A553A5">
            <w:pPr>
              <w:jc w:val="center"/>
              <w:rPr>
                <w:rFonts w:ascii="宋体" w:hAnsi="宋体"/>
                <w:szCs w:val="21"/>
              </w:rPr>
            </w:pPr>
            <w:r w:rsidRPr="00914C3C">
              <w:rPr>
                <w:rFonts w:ascii="宋体" w:hAnsi="宋体" w:hint="eastAsia"/>
                <w:szCs w:val="21"/>
              </w:rPr>
              <w:t>算</w:t>
            </w:r>
          </w:p>
          <w:p w:rsidR="009A46AD" w:rsidRPr="00914C3C" w:rsidRDefault="009A46AD" w:rsidP="00A553A5">
            <w:pPr>
              <w:jc w:val="center"/>
              <w:rPr>
                <w:rFonts w:ascii="宋体" w:hAnsi="宋体"/>
                <w:szCs w:val="21"/>
              </w:rPr>
            </w:pPr>
            <w:r w:rsidRPr="00914C3C">
              <w:rPr>
                <w:rFonts w:ascii="宋体" w:hAnsi="宋体" w:hint="eastAsia"/>
                <w:szCs w:val="21"/>
              </w:rPr>
              <w:t>价</w:t>
            </w: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8.74</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3.75</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0.45</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447"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跨度18m以外</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9.94</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4.17</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0.47</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其他</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8.40</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3.45</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0.43</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住宅建筑</w:t>
            </w:r>
          </w:p>
        </w:tc>
        <w:tc>
          <w:tcPr>
            <w:tcW w:w="9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roofErr w:type="gramStart"/>
            <w:r w:rsidRPr="00914C3C">
              <w:rPr>
                <w:rFonts w:ascii="宋体" w:hAnsi="宋体" w:hint="eastAsia"/>
                <w:szCs w:val="21"/>
              </w:rPr>
              <w:t>檐</w:t>
            </w:r>
            <w:proofErr w:type="gramEnd"/>
          </w:p>
          <w:p w:rsidR="009A46AD" w:rsidRPr="00914C3C" w:rsidRDefault="009A46AD" w:rsidP="00A553A5">
            <w:pPr>
              <w:jc w:val="center"/>
              <w:rPr>
                <w:rFonts w:ascii="宋体" w:hAnsi="宋体"/>
                <w:szCs w:val="21"/>
              </w:rPr>
            </w:pPr>
            <w:r w:rsidRPr="00914C3C">
              <w:rPr>
                <w:rFonts w:ascii="宋体" w:hAnsi="宋体" w:hint="eastAsia"/>
                <w:szCs w:val="21"/>
              </w:rPr>
              <w:t>高</w:t>
            </w:r>
          </w:p>
          <w:p w:rsidR="009A46AD" w:rsidRPr="00914C3C" w:rsidRDefault="009A46AD" w:rsidP="00A553A5">
            <w:pPr>
              <w:jc w:val="center"/>
              <w:rPr>
                <w:rFonts w:ascii="宋体" w:hAnsi="宋体"/>
                <w:szCs w:val="21"/>
              </w:rPr>
            </w:pPr>
            <w:r w:rsidRPr="00914C3C">
              <w:rPr>
                <w:rFonts w:ascii="宋体" w:hAnsi="宋体" w:hint="eastAsia"/>
                <w:szCs w:val="21"/>
              </w:rPr>
              <w:t>（m）</w:t>
            </w: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25以下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8.88</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3.62</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0.46</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5</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45以下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9.69</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3.88</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0.47</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6</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80以下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9.90</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4.09</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0.48</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7</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80以上</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10.01</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4.23</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0.50</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公共建筑</w:t>
            </w: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25以下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9.25</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3.73</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0.46</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9</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45以下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10.38</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4.25</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0.48</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80以下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10.76</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4.54</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0.50</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11</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120以下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10.92</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4.71</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0.51</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12</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200以下</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10.96</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4.84</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0.52</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13</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92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200以上</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10.99</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4.96</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0.52</w:t>
            </w: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14</w:t>
            </w:r>
          </w:p>
        </w:tc>
        <w:tc>
          <w:tcPr>
            <w:tcW w:w="2763" w:type="dxa"/>
            <w:gridSpan w:val="4"/>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钢结构</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3.81</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1.54</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15</w:t>
            </w:r>
          </w:p>
        </w:tc>
        <w:tc>
          <w:tcPr>
            <w:tcW w:w="2763" w:type="dxa"/>
            <w:gridSpan w:val="4"/>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独立土石方</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7.10</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2.63</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16</w:t>
            </w:r>
          </w:p>
        </w:tc>
        <w:tc>
          <w:tcPr>
            <w:tcW w:w="2763" w:type="dxa"/>
            <w:gridSpan w:val="4"/>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施工降水</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6.74</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2.67</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r>
      <w:tr w:rsidR="009A46AD" w:rsidRPr="00914C3C" w:rsidTr="00A553A5">
        <w:trPr>
          <w:trHeight w:val="344"/>
          <w:jc w:val="center"/>
        </w:trPr>
        <w:tc>
          <w:tcPr>
            <w:tcW w:w="8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17</w:t>
            </w:r>
          </w:p>
        </w:tc>
        <w:tc>
          <w:tcPr>
            <w:tcW w:w="2763" w:type="dxa"/>
            <w:gridSpan w:val="4"/>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边坡支护及桩基础</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c>
          <w:tcPr>
            <w:tcW w:w="106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6.98</w:t>
            </w:r>
          </w:p>
        </w:tc>
        <w:tc>
          <w:tcPr>
            <w:tcW w:w="171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r w:rsidRPr="00914C3C">
              <w:rPr>
                <w:rFonts w:ascii="宋体" w:hAnsi="宋体" w:hint="eastAsia"/>
                <w:szCs w:val="21"/>
              </w:rPr>
              <w:t>2.82</w:t>
            </w:r>
          </w:p>
        </w:tc>
        <w:tc>
          <w:tcPr>
            <w:tcW w:w="2549"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szCs w:val="21"/>
              </w:rPr>
            </w:pPr>
          </w:p>
        </w:tc>
      </w:tr>
      <w:tr w:rsidR="009A46AD" w:rsidRPr="00914C3C" w:rsidTr="00A553A5">
        <w:trPr>
          <w:jc w:val="center"/>
        </w:trPr>
        <w:tc>
          <w:tcPr>
            <w:tcW w:w="803"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713"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447"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477"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1126"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714"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1069"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1713"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c>
          <w:tcPr>
            <w:tcW w:w="2549" w:type="dxa"/>
            <w:tcBorders>
              <w:top w:val="nil"/>
              <w:left w:val="nil"/>
              <w:bottom w:val="nil"/>
              <w:right w:val="nil"/>
            </w:tcBorders>
            <w:vAlign w:val="center"/>
            <w:hideMark/>
          </w:tcPr>
          <w:p w:rsidR="009A46AD" w:rsidRPr="00914C3C" w:rsidRDefault="009A46AD" w:rsidP="00A553A5">
            <w:pPr>
              <w:jc w:val="center"/>
              <w:rPr>
                <w:rFonts w:ascii="宋体" w:hAnsi="宋体"/>
                <w:szCs w:val="21"/>
              </w:rPr>
            </w:pP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02 仿古建筑工程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393"/>
        <w:gridCol w:w="3663"/>
        <w:gridCol w:w="3560"/>
      </w:tblGrid>
      <w:tr w:rsidR="009A46AD" w:rsidRPr="00914C3C" w:rsidTr="00A553A5">
        <w:trPr>
          <w:trHeight w:val="352"/>
          <w:jc w:val="center"/>
        </w:trPr>
        <w:tc>
          <w:tcPr>
            <w:tcW w:w="18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项目名称</w:t>
            </w:r>
          </w:p>
        </w:tc>
        <w:tc>
          <w:tcPr>
            <w:tcW w:w="72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仿古建筑工程</w:t>
            </w:r>
          </w:p>
        </w:tc>
      </w:tr>
      <w:tr w:rsidR="009A46AD" w:rsidRPr="00914C3C" w:rsidTr="00A553A5">
        <w:trPr>
          <w:trHeight w:val="333"/>
          <w:jc w:val="center"/>
        </w:trPr>
        <w:tc>
          <w:tcPr>
            <w:tcW w:w="3196"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五环以内</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五环以外</w:t>
            </w:r>
          </w:p>
        </w:tc>
      </w:tr>
      <w:tr w:rsidR="009A46AD" w:rsidRPr="00914C3C" w:rsidTr="00A553A5">
        <w:trPr>
          <w:trHeight w:val="375"/>
          <w:jc w:val="center"/>
        </w:trPr>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计费基数</w:t>
            </w:r>
          </w:p>
        </w:tc>
        <w:tc>
          <w:tcPr>
            <w:tcW w:w="722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以第一章至第十章的相应部分除</w:t>
            </w:r>
            <w:proofErr w:type="gramStart"/>
            <w:r w:rsidRPr="00914C3C">
              <w:rPr>
                <w:rFonts w:ascii="宋体" w:hAnsi="宋体" w:hint="eastAsia"/>
              </w:rPr>
              <w:t>税预算</w:t>
            </w:r>
            <w:proofErr w:type="gramEnd"/>
            <w:r w:rsidRPr="00914C3C">
              <w:rPr>
                <w:rFonts w:ascii="宋体" w:hAnsi="宋体" w:hint="eastAsia"/>
              </w:rPr>
              <w:t>价为基数（不得重复）计算</w:t>
            </w:r>
          </w:p>
        </w:tc>
      </w:tr>
      <w:tr w:rsidR="009A46AD" w:rsidRPr="00914C3C" w:rsidTr="00A553A5">
        <w:trPr>
          <w:trHeight w:val="375"/>
          <w:jc w:val="center"/>
        </w:trPr>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费率（%）</w:t>
            </w: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5.48</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4.78</w:t>
            </w:r>
          </w:p>
        </w:tc>
      </w:tr>
      <w:tr w:rsidR="009A46AD" w:rsidRPr="00914C3C" w:rsidTr="00A553A5">
        <w:trPr>
          <w:trHeight w:val="375"/>
          <w:jc w:val="center"/>
        </w:trPr>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其中</w:t>
            </w:r>
          </w:p>
        </w:tc>
        <w:tc>
          <w:tcPr>
            <w:tcW w:w="139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环境保护</w:t>
            </w: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1.24</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1.13</w:t>
            </w:r>
          </w:p>
        </w:tc>
      </w:tr>
      <w:tr w:rsidR="009A46AD" w:rsidRPr="00914C3C" w:rsidTr="00A553A5">
        <w:trPr>
          <w:trHeight w:val="375"/>
          <w:jc w:val="center"/>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文明施工</w:t>
            </w: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0.70</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0.47</w:t>
            </w:r>
          </w:p>
        </w:tc>
      </w:tr>
      <w:tr w:rsidR="009A46AD" w:rsidRPr="00914C3C" w:rsidTr="00A553A5">
        <w:trPr>
          <w:trHeight w:val="375"/>
          <w:jc w:val="center"/>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安全施工</w:t>
            </w: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1.52</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1.26</w:t>
            </w:r>
          </w:p>
        </w:tc>
      </w:tr>
      <w:tr w:rsidR="009A46AD" w:rsidRPr="00914C3C" w:rsidTr="00A553A5">
        <w:trPr>
          <w:trHeight w:val="375"/>
          <w:jc w:val="center"/>
        </w:trPr>
        <w:tc>
          <w:tcPr>
            <w:tcW w:w="180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临时设施</w:t>
            </w:r>
          </w:p>
        </w:tc>
        <w:tc>
          <w:tcPr>
            <w:tcW w:w="366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2.02</w:t>
            </w:r>
          </w:p>
        </w:tc>
        <w:tc>
          <w:tcPr>
            <w:tcW w:w="3560"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1.92</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7"/>
        <w:gridCol w:w="1438"/>
        <w:gridCol w:w="1203"/>
        <w:gridCol w:w="3583"/>
      </w:tblGrid>
      <w:tr w:rsidR="009A46AD" w:rsidRPr="00914C3C" w:rsidTr="00A553A5">
        <w:trPr>
          <w:trHeight w:val="378"/>
          <w:jc w:val="center"/>
        </w:trPr>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序号</w:t>
            </w:r>
          </w:p>
        </w:tc>
        <w:tc>
          <w:tcPr>
            <w:tcW w:w="233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项目名称</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计费基数</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企业管理费率（%）</w:t>
            </w:r>
          </w:p>
        </w:tc>
        <w:tc>
          <w:tcPr>
            <w:tcW w:w="358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其中</w:t>
            </w:r>
          </w:p>
        </w:tc>
      </w:tr>
      <w:tr w:rsidR="009A46AD" w:rsidRPr="00914C3C" w:rsidTr="00A553A5">
        <w:trPr>
          <w:trHeight w:val="242"/>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p>
        </w:tc>
        <w:tc>
          <w:tcPr>
            <w:tcW w:w="358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现场管理费率（%）</w:t>
            </w:r>
          </w:p>
        </w:tc>
      </w:tr>
      <w:tr w:rsidR="009A46AD" w:rsidRPr="00914C3C" w:rsidTr="00A553A5">
        <w:trPr>
          <w:trHeight w:val="439"/>
          <w:jc w:val="center"/>
        </w:trPr>
        <w:tc>
          <w:tcPr>
            <w:tcW w:w="46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w:t>
            </w:r>
          </w:p>
        </w:tc>
        <w:tc>
          <w:tcPr>
            <w:tcW w:w="233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仿古建筑工程</w:t>
            </w:r>
          </w:p>
        </w:tc>
        <w:tc>
          <w:tcPr>
            <w:tcW w:w="1438"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除</w:t>
            </w:r>
            <w:proofErr w:type="gramStart"/>
            <w:r w:rsidRPr="00914C3C">
              <w:rPr>
                <w:rFonts w:ascii="宋体" w:hAnsi="宋体" w:hint="eastAsia"/>
              </w:rPr>
              <w:t>税预算</w:t>
            </w:r>
            <w:proofErr w:type="gramEnd"/>
            <w:r w:rsidRPr="00914C3C">
              <w:rPr>
                <w:rFonts w:ascii="宋体" w:hAnsi="宋体" w:hint="eastAsia"/>
              </w:rPr>
              <w:t>价</w:t>
            </w:r>
          </w:p>
        </w:tc>
        <w:tc>
          <w:tcPr>
            <w:tcW w:w="120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10.12</w:t>
            </w:r>
          </w:p>
        </w:tc>
        <w:tc>
          <w:tcPr>
            <w:tcW w:w="3583"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4.12</w:t>
            </w:r>
          </w:p>
        </w:tc>
      </w:tr>
    </w:tbl>
    <w:p w:rsidR="009A46AD" w:rsidRDefault="009A46AD" w:rsidP="009A46AD">
      <w:pPr>
        <w:spacing w:line="345" w:lineRule="atLeast"/>
        <w:rPr>
          <w:rFonts w:ascii="宋体" w:hAnsi="宋体" w:cs="宋体"/>
          <w:szCs w:val="21"/>
        </w:rPr>
      </w:pPr>
    </w:p>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03 通用安装工程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1.工程调试费</w:t>
      </w:r>
    </w:p>
    <w:tbl>
      <w:tblPr>
        <w:tblW w:w="9427" w:type="dxa"/>
        <w:jc w:val="center"/>
        <w:tblLayout w:type="fixed"/>
        <w:tblLook w:val="04A0" w:firstRow="1" w:lastRow="0" w:firstColumn="1" w:lastColumn="0" w:noHBand="0" w:noVBand="1"/>
      </w:tblPr>
      <w:tblGrid>
        <w:gridCol w:w="2777"/>
        <w:gridCol w:w="6650"/>
      </w:tblGrid>
      <w:tr w:rsidR="009A46AD" w:rsidRPr="00914C3C" w:rsidTr="00A553A5">
        <w:trPr>
          <w:trHeight w:val="472"/>
          <w:jc w:val="center"/>
        </w:trPr>
        <w:tc>
          <w:tcPr>
            <w:tcW w:w="27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项目名称</w:t>
            </w:r>
          </w:p>
        </w:tc>
        <w:tc>
          <w:tcPr>
            <w:tcW w:w="6650" w:type="dxa"/>
            <w:tcBorders>
              <w:top w:val="single" w:sz="4" w:space="0" w:color="auto"/>
              <w:left w:val="nil"/>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费 率</w:t>
            </w:r>
          </w:p>
        </w:tc>
      </w:tr>
      <w:tr w:rsidR="009A46AD" w:rsidRPr="00914C3C" w:rsidTr="00A553A5">
        <w:trPr>
          <w:trHeight w:val="563"/>
          <w:jc w:val="center"/>
        </w:trPr>
        <w:tc>
          <w:tcPr>
            <w:tcW w:w="2777" w:type="dxa"/>
            <w:tcBorders>
              <w:top w:val="nil"/>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采暖系统调试费</w:t>
            </w:r>
          </w:p>
        </w:tc>
        <w:tc>
          <w:tcPr>
            <w:tcW w:w="6650" w:type="dxa"/>
            <w:tcBorders>
              <w:top w:val="nil"/>
              <w:left w:val="nil"/>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采暖系统调试费按采暖工程人工费的13.8%计取，其中人工费占26%</w:t>
            </w:r>
          </w:p>
        </w:tc>
      </w:tr>
      <w:tr w:rsidR="009A46AD" w:rsidRPr="00914C3C" w:rsidTr="00A553A5">
        <w:trPr>
          <w:trHeight w:val="624"/>
          <w:jc w:val="center"/>
        </w:trPr>
        <w:tc>
          <w:tcPr>
            <w:tcW w:w="2777" w:type="dxa"/>
            <w:tcBorders>
              <w:top w:val="nil"/>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空调水工</w:t>
            </w:r>
            <w:proofErr w:type="gramStart"/>
            <w:r w:rsidRPr="00914C3C">
              <w:rPr>
                <w:rFonts w:ascii="宋体" w:hAnsi="宋体" w:hint="eastAsia"/>
              </w:rPr>
              <w:t>程系统</w:t>
            </w:r>
            <w:proofErr w:type="gramEnd"/>
            <w:r w:rsidRPr="00914C3C">
              <w:rPr>
                <w:rFonts w:ascii="宋体" w:hAnsi="宋体" w:hint="eastAsia"/>
              </w:rPr>
              <w:t>调试费</w:t>
            </w:r>
          </w:p>
        </w:tc>
        <w:tc>
          <w:tcPr>
            <w:tcW w:w="6650" w:type="dxa"/>
            <w:tcBorders>
              <w:top w:val="nil"/>
              <w:left w:val="nil"/>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空调水工</w:t>
            </w:r>
            <w:proofErr w:type="gramStart"/>
            <w:r w:rsidRPr="00914C3C">
              <w:rPr>
                <w:rFonts w:ascii="宋体" w:hAnsi="宋体" w:hint="eastAsia"/>
              </w:rPr>
              <w:t>程系统</w:t>
            </w:r>
            <w:proofErr w:type="gramEnd"/>
            <w:r w:rsidRPr="00914C3C">
              <w:rPr>
                <w:rFonts w:ascii="宋体" w:hAnsi="宋体" w:hint="eastAsia"/>
              </w:rPr>
              <w:t>调试费，按空调水工程人工费的13.8%计取，其中人工费占26%</w:t>
            </w:r>
          </w:p>
        </w:tc>
      </w:tr>
      <w:tr w:rsidR="009A46AD" w:rsidRPr="00914C3C" w:rsidTr="00A553A5">
        <w:trPr>
          <w:trHeight w:val="624"/>
          <w:jc w:val="center"/>
        </w:trPr>
        <w:tc>
          <w:tcPr>
            <w:tcW w:w="2777" w:type="dxa"/>
            <w:tcBorders>
              <w:top w:val="nil"/>
              <w:left w:val="single" w:sz="4" w:space="0" w:color="auto"/>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通风空调工程系统调试费</w:t>
            </w:r>
          </w:p>
        </w:tc>
        <w:tc>
          <w:tcPr>
            <w:tcW w:w="6650" w:type="dxa"/>
            <w:tcBorders>
              <w:top w:val="nil"/>
              <w:left w:val="nil"/>
              <w:bottom w:val="single" w:sz="4" w:space="0" w:color="auto"/>
              <w:right w:val="single" w:sz="4" w:space="0" w:color="auto"/>
            </w:tcBorders>
            <w:vAlign w:val="center"/>
            <w:hideMark/>
          </w:tcPr>
          <w:p w:rsidR="009A46AD" w:rsidRPr="00914C3C" w:rsidRDefault="009A46AD" w:rsidP="00A553A5">
            <w:pPr>
              <w:rPr>
                <w:rFonts w:ascii="宋体" w:hAnsi="宋体"/>
              </w:rPr>
            </w:pPr>
            <w:r w:rsidRPr="00914C3C">
              <w:rPr>
                <w:rFonts w:ascii="宋体" w:hAnsi="宋体" w:hint="eastAsia"/>
              </w:rPr>
              <w:t>通风空调工程系统调试费，按系统人工费的13.8%计取，其中人工费占26%</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2.脚手架使用费</w:t>
      </w:r>
    </w:p>
    <w:tbl>
      <w:tblPr>
        <w:tblW w:w="9428" w:type="dxa"/>
        <w:jc w:val="center"/>
        <w:tblLook w:val="04A0" w:firstRow="1" w:lastRow="0" w:firstColumn="1" w:lastColumn="0" w:noHBand="0" w:noVBand="1"/>
      </w:tblPr>
      <w:tblGrid>
        <w:gridCol w:w="3177"/>
        <w:gridCol w:w="6251"/>
      </w:tblGrid>
      <w:tr w:rsidR="009A46AD" w:rsidRPr="00914C3C" w:rsidTr="00A553A5">
        <w:trPr>
          <w:trHeight w:val="653"/>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项目名称</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jc w:val="center"/>
              <w:rPr>
                <w:rFonts w:ascii="宋体" w:hAnsi="宋体"/>
              </w:rPr>
            </w:pPr>
            <w:r w:rsidRPr="00914C3C">
              <w:rPr>
                <w:rFonts w:ascii="宋体" w:hAnsi="宋体" w:hint="eastAsia"/>
              </w:rPr>
              <w:t>费 率</w:t>
            </w:r>
          </w:p>
        </w:tc>
      </w:tr>
      <w:tr w:rsidR="009A46AD" w:rsidRPr="00914C3C" w:rsidTr="00A553A5">
        <w:trPr>
          <w:trHeight w:val="3526"/>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第一册</w:t>
            </w:r>
          </w:p>
          <w:p w:rsidR="009A46AD" w:rsidRPr="00914C3C" w:rsidRDefault="009A46AD" w:rsidP="00A553A5">
            <w:pPr>
              <w:jc w:val="center"/>
              <w:rPr>
                <w:rFonts w:ascii="宋体" w:hAnsi="宋体"/>
              </w:rPr>
            </w:pPr>
            <w:r w:rsidRPr="00914C3C">
              <w:rPr>
                <w:rFonts w:ascii="宋体" w:hAnsi="宋体" w:hint="eastAsia"/>
              </w:rPr>
              <w:t>机械设备安装工程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脚手架使用费按下列系数计算:</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1</w:t>
            </w:r>
            <w:r>
              <w:rPr>
                <w:rFonts w:ascii="宋体" w:hAnsi="宋体" w:hint="eastAsia"/>
              </w:rPr>
              <w:t>）</w:t>
            </w:r>
            <w:r w:rsidRPr="00914C3C">
              <w:rPr>
                <w:rFonts w:ascii="宋体" w:hAnsi="宋体" w:hint="eastAsia"/>
              </w:rPr>
              <w:t>第一章“起重设备安装”、第二章“起重机轨道安装”脚手架使用费按定额人工费的7.74%计算，其中人工费占36.18%。</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2</w:t>
            </w:r>
            <w:r>
              <w:rPr>
                <w:rFonts w:ascii="宋体" w:hAnsi="宋体" w:hint="eastAsia"/>
              </w:rPr>
              <w:t>）</w:t>
            </w:r>
            <w:r w:rsidRPr="00914C3C">
              <w:rPr>
                <w:rFonts w:ascii="宋体" w:hAnsi="宋体" w:hint="eastAsia"/>
              </w:rPr>
              <w:t>电梯脚手架使用费：</w:t>
            </w:r>
          </w:p>
          <w:p w:rsidR="009A46AD" w:rsidRPr="00914C3C" w:rsidRDefault="009A46AD" w:rsidP="00A553A5">
            <w:pPr>
              <w:rPr>
                <w:rFonts w:ascii="宋体" w:hAnsi="宋体"/>
              </w:rPr>
            </w:pPr>
            <w:r w:rsidRPr="00914C3C">
              <w:rPr>
                <w:rFonts w:ascii="宋体" w:hAnsi="宋体" w:hint="eastAsia"/>
              </w:rPr>
              <w:t>电梯载重量≤1500kg,井道高度≤50m时:5.78%,其中人工费占25.97%</w:t>
            </w:r>
            <w:r>
              <w:rPr>
                <w:rFonts w:ascii="宋体" w:hAnsi="宋体" w:hint="eastAsia"/>
              </w:rPr>
              <w:t>；</w:t>
            </w:r>
          </w:p>
          <w:p w:rsidR="009A46AD" w:rsidRPr="00914C3C" w:rsidRDefault="009A46AD" w:rsidP="00A553A5">
            <w:pPr>
              <w:rPr>
                <w:rFonts w:ascii="宋体" w:hAnsi="宋体"/>
              </w:rPr>
            </w:pPr>
            <w:r w:rsidRPr="00914C3C">
              <w:rPr>
                <w:rFonts w:ascii="宋体" w:hAnsi="宋体" w:hint="eastAsia"/>
              </w:rPr>
              <w:t>电梯载重量≤1500kg,井道高度&gt;50m时:9.24%,其中人工费占25.97%</w:t>
            </w:r>
            <w:r>
              <w:rPr>
                <w:rFonts w:ascii="宋体" w:hAnsi="宋体" w:hint="eastAsia"/>
              </w:rPr>
              <w:t>；</w:t>
            </w:r>
          </w:p>
          <w:p w:rsidR="009A46AD" w:rsidRPr="00914C3C" w:rsidRDefault="009A46AD" w:rsidP="00A553A5">
            <w:pPr>
              <w:rPr>
                <w:rFonts w:ascii="宋体" w:hAnsi="宋体"/>
              </w:rPr>
            </w:pPr>
            <w:r w:rsidRPr="00914C3C">
              <w:rPr>
                <w:rFonts w:ascii="宋体" w:hAnsi="宋体" w:hint="eastAsia"/>
              </w:rPr>
              <w:t>电梯载重量&gt;1500kg所增加的脚手架费用另行计算 。</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3</w:t>
            </w:r>
            <w:r>
              <w:rPr>
                <w:rFonts w:ascii="宋体" w:hAnsi="宋体" w:hint="eastAsia"/>
              </w:rPr>
              <w:t>）</w:t>
            </w:r>
            <w:r w:rsidRPr="00914C3C">
              <w:rPr>
                <w:rFonts w:ascii="宋体" w:hAnsi="宋体" w:hint="eastAsia"/>
              </w:rPr>
              <w:t>除第一、</w:t>
            </w:r>
            <w:proofErr w:type="gramStart"/>
            <w:r w:rsidRPr="00914C3C">
              <w:rPr>
                <w:rFonts w:ascii="宋体" w:hAnsi="宋体" w:hint="eastAsia"/>
              </w:rPr>
              <w:t>二、四章外</w:t>
            </w:r>
            <w:proofErr w:type="gramEnd"/>
            <w:r w:rsidRPr="00914C3C">
              <w:rPr>
                <w:rFonts w:ascii="宋体" w:hAnsi="宋体" w:hint="eastAsia"/>
              </w:rPr>
              <w:t>,脚手架使用费按人工费的4.81%计算,其中人工费占25.97%。</w:t>
            </w:r>
          </w:p>
        </w:tc>
      </w:tr>
      <w:tr w:rsidR="009A46AD" w:rsidRPr="00914C3C" w:rsidTr="00A553A5">
        <w:trPr>
          <w:trHeight w:val="1123"/>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第二册</w:t>
            </w:r>
          </w:p>
          <w:p w:rsidR="009A46AD" w:rsidRPr="00914C3C" w:rsidRDefault="009A46AD" w:rsidP="00A553A5">
            <w:pPr>
              <w:jc w:val="center"/>
              <w:rPr>
                <w:rFonts w:ascii="宋体" w:hAnsi="宋体"/>
              </w:rPr>
            </w:pPr>
            <w:r w:rsidRPr="00914C3C">
              <w:rPr>
                <w:rFonts w:ascii="宋体" w:hAnsi="宋体" w:hint="eastAsia"/>
              </w:rPr>
              <w:t>热力设备安装工程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脚手架使用费按下列系数计算:</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1</w:t>
            </w:r>
            <w:r>
              <w:rPr>
                <w:rFonts w:ascii="宋体" w:hAnsi="宋体" w:hint="eastAsia"/>
              </w:rPr>
              <w:t>）</w:t>
            </w:r>
            <w:r w:rsidRPr="00914C3C">
              <w:rPr>
                <w:rFonts w:ascii="宋体" w:hAnsi="宋体" w:hint="eastAsia"/>
              </w:rPr>
              <w:t>第一章至第七章按人工费的9.63%计算,其中人工费占25.97%</w:t>
            </w:r>
            <w:r>
              <w:rPr>
                <w:rFonts w:ascii="宋体" w:hAnsi="宋体" w:hint="eastAsia"/>
              </w:rPr>
              <w:t>；</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2</w:t>
            </w:r>
            <w:r>
              <w:rPr>
                <w:rFonts w:ascii="宋体" w:hAnsi="宋体" w:hint="eastAsia"/>
              </w:rPr>
              <w:t>）</w:t>
            </w:r>
            <w:r w:rsidRPr="00914C3C">
              <w:rPr>
                <w:rFonts w:ascii="宋体" w:hAnsi="宋体" w:hint="eastAsia"/>
              </w:rPr>
              <w:t>第八章按人工费的4.81%计算,其中人工费占25.97%。</w:t>
            </w:r>
          </w:p>
        </w:tc>
      </w:tr>
      <w:tr w:rsidR="009A46AD" w:rsidRPr="00914C3C" w:rsidTr="00A553A5">
        <w:trPr>
          <w:trHeight w:val="1423"/>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第三册</w:t>
            </w:r>
          </w:p>
          <w:p w:rsidR="009A46AD" w:rsidRPr="00914C3C" w:rsidRDefault="009A46AD" w:rsidP="00A553A5">
            <w:pPr>
              <w:jc w:val="center"/>
              <w:rPr>
                <w:rFonts w:ascii="宋体" w:hAnsi="宋体"/>
              </w:rPr>
            </w:pPr>
            <w:r w:rsidRPr="00914C3C">
              <w:rPr>
                <w:rFonts w:ascii="宋体" w:hAnsi="宋体" w:hint="eastAsia"/>
              </w:rPr>
              <w:t>静置设备与工艺金属结构制作安装工程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2.静置设备制作,脚手架使用费按人工费的4.81%计算,其中人工费占25.97%。</w:t>
            </w:r>
          </w:p>
          <w:p w:rsidR="009A46AD" w:rsidRPr="00914C3C" w:rsidRDefault="009A46AD" w:rsidP="00A553A5">
            <w:pPr>
              <w:rPr>
                <w:rFonts w:ascii="宋体" w:hAnsi="宋体"/>
              </w:rPr>
            </w:pPr>
            <w:r w:rsidRPr="00914C3C">
              <w:rPr>
                <w:rFonts w:ascii="宋体" w:hAnsi="宋体" w:hint="eastAsia"/>
              </w:rPr>
              <w:t>3.</w:t>
            </w:r>
            <w:proofErr w:type="gramStart"/>
            <w:r w:rsidRPr="00914C3C">
              <w:rPr>
                <w:rFonts w:ascii="宋体" w:hAnsi="宋体" w:hint="eastAsia"/>
              </w:rPr>
              <w:t>除静置</w:t>
            </w:r>
            <w:proofErr w:type="gramEnd"/>
            <w:r w:rsidRPr="00914C3C">
              <w:rPr>
                <w:rFonts w:ascii="宋体" w:hAnsi="宋体" w:hint="eastAsia"/>
              </w:rPr>
              <w:t>设备制作工程以外,本定额其他项目脚手架使用费按人工费的9.63%计算,其中人工费占25.97%。</w:t>
            </w:r>
          </w:p>
        </w:tc>
      </w:tr>
      <w:tr w:rsidR="009A46AD" w:rsidRPr="00914C3C" w:rsidTr="00A553A5">
        <w:trPr>
          <w:trHeight w:val="850"/>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第四册</w:t>
            </w:r>
          </w:p>
          <w:p w:rsidR="009A46AD" w:rsidRPr="00914C3C" w:rsidRDefault="009A46AD" w:rsidP="00A553A5">
            <w:pPr>
              <w:jc w:val="center"/>
              <w:rPr>
                <w:rFonts w:ascii="宋体" w:hAnsi="宋体"/>
              </w:rPr>
            </w:pPr>
            <w:r w:rsidRPr="00914C3C">
              <w:rPr>
                <w:rFonts w:ascii="宋体" w:hAnsi="宋体" w:hint="eastAsia"/>
              </w:rPr>
              <w:t>电气设备安装工程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2.脚手架使用费按人工费的4.81%计算,其中人工费占25.97%。</w:t>
            </w:r>
          </w:p>
          <w:p w:rsidR="009A46AD" w:rsidRPr="00914C3C" w:rsidRDefault="009A46AD" w:rsidP="00A553A5">
            <w:pPr>
              <w:rPr>
                <w:rFonts w:ascii="宋体" w:hAnsi="宋体"/>
              </w:rPr>
            </w:pPr>
            <w:r w:rsidRPr="00914C3C">
              <w:rPr>
                <w:rFonts w:ascii="宋体" w:hAnsi="宋体" w:hint="eastAsia"/>
              </w:rPr>
              <w:t>3.对单独承担的室外埋地敷设电缆、架空配电线路和路灯工程,不计取脚手架使用费。</w:t>
            </w:r>
          </w:p>
        </w:tc>
      </w:tr>
      <w:tr w:rsidR="009A46AD" w:rsidRPr="00914C3C" w:rsidTr="00A553A5">
        <w:trPr>
          <w:trHeight w:val="2307"/>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lastRenderedPageBreak/>
              <w:t>第五册建筑智能化工程</w:t>
            </w:r>
          </w:p>
          <w:p w:rsidR="009A46AD" w:rsidRPr="00914C3C" w:rsidRDefault="009A46AD" w:rsidP="00A553A5">
            <w:pPr>
              <w:jc w:val="center"/>
              <w:rPr>
                <w:rFonts w:ascii="宋体" w:hAnsi="宋体"/>
              </w:rPr>
            </w:pPr>
            <w:r w:rsidRPr="00914C3C">
              <w:rPr>
                <w:rFonts w:ascii="宋体" w:hAnsi="宋体" w:hint="eastAsia"/>
              </w:rPr>
              <w:t>第六册自动化控制仪表安装工程</w:t>
            </w:r>
          </w:p>
          <w:p w:rsidR="009A46AD" w:rsidRPr="00914C3C" w:rsidRDefault="009A46AD" w:rsidP="00A553A5">
            <w:pPr>
              <w:jc w:val="center"/>
              <w:rPr>
                <w:rFonts w:ascii="宋体" w:hAnsi="宋体"/>
              </w:rPr>
            </w:pPr>
            <w:r w:rsidRPr="00914C3C">
              <w:rPr>
                <w:rFonts w:ascii="宋体" w:hAnsi="宋体" w:hint="eastAsia"/>
              </w:rPr>
              <w:t>第七册通风空调工程</w:t>
            </w:r>
          </w:p>
          <w:p w:rsidR="009A46AD" w:rsidRPr="00914C3C" w:rsidRDefault="009A46AD" w:rsidP="00A553A5">
            <w:pPr>
              <w:jc w:val="center"/>
              <w:rPr>
                <w:rFonts w:ascii="宋体" w:hAnsi="宋体"/>
              </w:rPr>
            </w:pPr>
            <w:r w:rsidRPr="00914C3C">
              <w:rPr>
                <w:rFonts w:ascii="宋体" w:hAnsi="宋体" w:hint="eastAsia"/>
              </w:rPr>
              <w:t>第八册工业管道工程</w:t>
            </w:r>
          </w:p>
          <w:p w:rsidR="009A46AD" w:rsidRPr="00914C3C" w:rsidRDefault="009A46AD" w:rsidP="00A553A5">
            <w:pPr>
              <w:jc w:val="center"/>
              <w:rPr>
                <w:rFonts w:ascii="宋体" w:hAnsi="宋体"/>
              </w:rPr>
            </w:pPr>
            <w:r w:rsidRPr="00914C3C">
              <w:rPr>
                <w:rFonts w:ascii="宋体" w:hAnsi="宋体" w:hint="eastAsia"/>
              </w:rPr>
              <w:t>第九册消防工程</w:t>
            </w:r>
          </w:p>
          <w:p w:rsidR="009A46AD" w:rsidRPr="00914C3C" w:rsidRDefault="009A46AD" w:rsidP="00A553A5">
            <w:pPr>
              <w:jc w:val="center"/>
              <w:rPr>
                <w:rFonts w:ascii="宋体" w:hAnsi="宋体"/>
              </w:rPr>
            </w:pPr>
            <w:r w:rsidRPr="00914C3C">
              <w:rPr>
                <w:rFonts w:ascii="宋体" w:hAnsi="宋体" w:hint="eastAsia"/>
              </w:rPr>
              <w:t>第十册给排水 采暖 燃气工程</w:t>
            </w:r>
          </w:p>
          <w:p w:rsidR="009A46AD" w:rsidRPr="00914C3C" w:rsidRDefault="009A46AD" w:rsidP="00A553A5">
            <w:pPr>
              <w:jc w:val="center"/>
              <w:rPr>
                <w:rFonts w:ascii="宋体" w:hAnsi="宋体"/>
              </w:rPr>
            </w:pPr>
            <w:r w:rsidRPr="00914C3C">
              <w:rPr>
                <w:rFonts w:ascii="宋体" w:hAnsi="宋体" w:hint="eastAsia"/>
              </w:rPr>
              <w:t>第十一册通信设备及线路工程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2.脚手架使用费按人工费的4.81%计算,其中人工费占25.97%。</w:t>
            </w:r>
          </w:p>
          <w:p w:rsidR="009A46AD" w:rsidRPr="00914C3C" w:rsidRDefault="009A46AD" w:rsidP="00A553A5">
            <w:pPr>
              <w:rPr>
                <w:rFonts w:ascii="宋体" w:hAnsi="宋体"/>
              </w:rPr>
            </w:pPr>
            <w:r w:rsidRPr="00914C3C">
              <w:rPr>
                <w:rFonts w:ascii="宋体" w:hAnsi="宋体" w:hint="eastAsia"/>
              </w:rPr>
              <w:t>3.第八册《工业管道工程》和第十册《给排水 采暖 燃气工程》，对单独承担的埋地管道工程，不计取脚手架使用费。</w:t>
            </w:r>
          </w:p>
          <w:p w:rsidR="009A46AD" w:rsidRPr="00914C3C" w:rsidRDefault="009A46AD" w:rsidP="00A553A5">
            <w:pPr>
              <w:rPr>
                <w:rFonts w:ascii="宋体" w:hAnsi="宋体"/>
              </w:rPr>
            </w:pPr>
            <w:r w:rsidRPr="00914C3C">
              <w:rPr>
                <w:rFonts w:ascii="宋体" w:hAnsi="宋体" w:hint="eastAsia"/>
              </w:rPr>
              <w:t>第十一册《通信设备及线路工程》,室外通信工程项目不计取脚手架使用费。</w:t>
            </w:r>
          </w:p>
        </w:tc>
      </w:tr>
      <w:tr w:rsidR="009A46AD" w:rsidRPr="00914C3C" w:rsidTr="00A553A5">
        <w:trPr>
          <w:trHeight w:val="850"/>
          <w:jc w:val="center"/>
        </w:trPr>
        <w:tc>
          <w:tcPr>
            <w:tcW w:w="3177" w:type="dxa"/>
            <w:tcBorders>
              <w:top w:val="single" w:sz="4" w:space="0" w:color="auto"/>
              <w:left w:val="single" w:sz="4" w:space="0" w:color="auto"/>
              <w:bottom w:val="single" w:sz="4" w:space="0" w:color="auto"/>
              <w:right w:val="single" w:sz="4" w:space="0" w:color="auto"/>
            </w:tcBorders>
            <w:vAlign w:val="center"/>
            <w:hideMark/>
          </w:tcPr>
          <w:p w:rsidR="009A46AD" w:rsidRPr="00914C3C" w:rsidRDefault="009A46AD" w:rsidP="00A553A5">
            <w:pPr>
              <w:jc w:val="center"/>
              <w:rPr>
                <w:rFonts w:ascii="宋体" w:hAnsi="宋体"/>
              </w:rPr>
            </w:pPr>
            <w:r w:rsidRPr="00914C3C">
              <w:rPr>
                <w:rFonts w:ascii="宋体" w:hAnsi="宋体" w:hint="eastAsia"/>
              </w:rPr>
              <w:t>第十二册</w:t>
            </w:r>
          </w:p>
          <w:p w:rsidR="009A46AD" w:rsidRPr="00914C3C" w:rsidRDefault="009A46AD" w:rsidP="00A553A5">
            <w:pPr>
              <w:jc w:val="center"/>
              <w:rPr>
                <w:rFonts w:ascii="宋体" w:hAnsi="宋体"/>
              </w:rPr>
            </w:pPr>
            <w:r w:rsidRPr="00914C3C">
              <w:rPr>
                <w:rFonts w:ascii="宋体" w:hAnsi="宋体" w:hint="eastAsia"/>
              </w:rPr>
              <w:t>刷油 防腐蚀 绝热工程</w:t>
            </w:r>
          </w:p>
        </w:tc>
        <w:tc>
          <w:tcPr>
            <w:tcW w:w="6251" w:type="dxa"/>
            <w:tcBorders>
              <w:top w:val="single" w:sz="4" w:space="0" w:color="auto"/>
              <w:left w:val="nil"/>
              <w:bottom w:val="single" w:sz="4" w:space="0" w:color="auto"/>
              <w:right w:val="single" w:sz="4" w:space="0" w:color="auto"/>
            </w:tcBorders>
            <w:noWrap/>
            <w:vAlign w:val="center"/>
            <w:hideMark/>
          </w:tcPr>
          <w:p w:rsidR="009A46AD" w:rsidRPr="00914C3C" w:rsidRDefault="009A46AD" w:rsidP="00A553A5">
            <w:pPr>
              <w:rPr>
                <w:rFonts w:ascii="宋体" w:hAnsi="宋体"/>
              </w:rPr>
            </w:pPr>
            <w:r w:rsidRPr="00914C3C">
              <w:rPr>
                <w:rFonts w:ascii="宋体" w:hAnsi="宋体" w:hint="eastAsia"/>
              </w:rPr>
              <w:t>脚手架使用费按下列系数计算：</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1</w:t>
            </w:r>
            <w:r>
              <w:rPr>
                <w:rFonts w:ascii="宋体" w:hAnsi="宋体" w:hint="eastAsia"/>
              </w:rPr>
              <w:t>）</w:t>
            </w:r>
            <w:r w:rsidRPr="00914C3C">
              <w:rPr>
                <w:rFonts w:ascii="宋体" w:hAnsi="宋体" w:hint="eastAsia"/>
              </w:rPr>
              <w:t>刷油工程:按人工费的7.70%计算,其中人工费占25.97%</w:t>
            </w:r>
            <w:r>
              <w:rPr>
                <w:rFonts w:ascii="宋体" w:hAnsi="宋体" w:hint="eastAsia"/>
              </w:rPr>
              <w:t>；</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2</w:t>
            </w:r>
            <w:r>
              <w:rPr>
                <w:rFonts w:ascii="宋体" w:hAnsi="宋体" w:hint="eastAsia"/>
              </w:rPr>
              <w:t>）</w:t>
            </w:r>
            <w:r w:rsidRPr="00914C3C">
              <w:rPr>
                <w:rFonts w:ascii="宋体" w:hAnsi="宋体" w:hint="eastAsia"/>
              </w:rPr>
              <w:t>防腐蚀工程:按人工费的11.55%计算,其中人工费占25.97%</w:t>
            </w:r>
            <w:r>
              <w:rPr>
                <w:rFonts w:ascii="宋体" w:hAnsi="宋体" w:hint="eastAsia"/>
              </w:rPr>
              <w:t>；</w:t>
            </w:r>
          </w:p>
          <w:p w:rsidR="009A46AD" w:rsidRPr="00914C3C" w:rsidRDefault="009A46AD" w:rsidP="00A553A5">
            <w:pPr>
              <w:rPr>
                <w:rFonts w:ascii="宋体" w:hAnsi="宋体"/>
              </w:rPr>
            </w:pPr>
            <w:r>
              <w:rPr>
                <w:rFonts w:ascii="宋体" w:hAnsi="宋体" w:hint="eastAsia"/>
              </w:rPr>
              <w:t>（</w:t>
            </w:r>
            <w:r w:rsidRPr="00914C3C">
              <w:rPr>
                <w:rFonts w:ascii="宋体" w:hAnsi="宋体" w:hint="eastAsia"/>
              </w:rPr>
              <w:t>3</w:t>
            </w:r>
            <w:r>
              <w:rPr>
                <w:rFonts w:ascii="宋体" w:hAnsi="宋体" w:hint="eastAsia"/>
              </w:rPr>
              <w:t>）</w:t>
            </w:r>
            <w:r w:rsidRPr="00914C3C">
              <w:rPr>
                <w:rFonts w:ascii="宋体" w:hAnsi="宋体" w:hint="eastAsia"/>
              </w:rPr>
              <w:t>绝热工程:按人工费的19.25%计算,其中人工费占25.97%。</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3.安装与生产同时进行增加费</w:t>
      </w:r>
    </w:p>
    <w:tbl>
      <w:tblPr>
        <w:tblW w:w="9395" w:type="dxa"/>
        <w:jc w:val="center"/>
        <w:tblLayout w:type="fixed"/>
        <w:tblLook w:val="04A0" w:firstRow="1" w:lastRow="0" w:firstColumn="1" w:lastColumn="0" w:noHBand="0" w:noVBand="1"/>
      </w:tblPr>
      <w:tblGrid>
        <w:gridCol w:w="3239"/>
        <w:gridCol w:w="6156"/>
      </w:tblGrid>
      <w:tr w:rsidR="009A46AD" w:rsidRPr="00E47939" w:rsidTr="00A553A5">
        <w:trPr>
          <w:trHeight w:val="409"/>
          <w:jc w:val="center"/>
        </w:trPr>
        <w:tc>
          <w:tcPr>
            <w:tcW w:w="323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项目名称</w:t>
            </w:r>
          </w:p>
        </w:tc>
        <w:tc>
          <w:tcPr>
            <w:tcW w:w="6156" w:type="dxa"/>
            <w:tcBorders>
              <w:top w:val="single" w:sz="4" w:space="0" w:color="auto"/>
              <w:left w:val="nil"/>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费 率</w:t>
            </w:r>
          </w:p>
        </w:tc>
      </w:tr>
      <w:tr w:rsidR="009A46AD" w:rsidRPr="00E47939" w:rsidTr="00A553A5">
        <w:trPr>
          <w:trHeight w:val="695"/>
          <w:jc w:val="center"/>
        </w:trPr>
        <w:tc>
          <w:tcPr>
            <w:tcW w:w="3239" w:type="dxa"/>
            <w:tcBorders>
              <w:top w:val="nil"/>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安装与生产同时进行增加费</w:t>
            </w:r>
          </w:p>
        </w:tc>
        <w:tc>
          <w:tcPr>
            <w:tcW w:w="6156" w:type="dxa"/>
            <w:tcBorders>
              <w:top w:val="nil"/>
              <w:left w:val="nil"/>
              <w:bottom w:val="single" w:sz="4" w:space="0" w:color="auto"/>
              <w:right w:val="single" w:sz="4" w:space="0" w:color="auto"/>
            </w:tcBorders>
            <w:vAlign w:val="center"/>
            <w:hideMark/>
          </w:tcPr>
          <w:p w:rsidR="009A46AD" w:rsidRPr="00E47939" w:rsidRDefault="009A46AD" w:rsidP="00A553A5">
            <w:pPr>
              <w:rPr>
                <w:rFonts w:ascii="宋体" w:hAnsi="宋体"/>
              </w:rPr>
            </w:pPr>
            <w:r w:rsidRPr="00E47939">
              <w:rPr>
                <w:rFonts w:ascii="宋体" w:hAnsi="宋体" w:hint="eastAsia"/>
              </w:rPr>
              <w:t>按人工费的9.60%计算</w:t>
            </w:r>
            <w:r>
              <w:rPr>
                <w:rFonts w:ascii="宋体" w:hAnsi="宋体" w:hint="eastAsia"/>
              </w:rPr>
              <w:t>；</w:t>
            </w:r>
            <w:r w:rsidRPr="00E47939">
              <w:rPr>
                <w:rFonts w:ascii="宋体" w:hAnsi="宋体" w:hint="eastAsia"/>
              </w:rPr>
              <w:t>其中人工费占安装与生产同时进行增加费的20.83%。</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4.在有害身体健康的环境中施工增加费</w:t>
      </w:r>
    </w:p>
    <w:tbl>
      <w:tblPr>
        <w:tblW w:w="9395" w:type="dxa"/>
        <w:jc w:val="center"/>
        <w:tblLayout w:type="fixed"/>
        <w:tblLook w:val="04A0" w:firstRow="1" w:lastRow="0" w:firstColumn="1" w:lastColumn="0" w:noHBand="0" w:noVBand="1"/>
      </w:tblPr>
      <w:tblGrid>
        <w:gridCol w:w="2721"/>
        <w:gridCol w:w="6674"/>
      </w:tblGrid>
      <w:tr w:rsidR="009A46AD" w:rsidRPr="00E47939" w:rsidTr="00A553A5">
        <w:trPr>
          <w:trHeight w:val="453"/>
          <w:jc w:val="center"/>
        </w:trPr>
        <w:tc>
          <w:tcPr>
            <w:tcW w:w="272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项目名称</w:t>
            </w:r>
          </w:p>
        </w:tc>
        <w:tc>
          <w:tcPr>
            <w:tcW w:w="6674" w:type="dxa"/>
            <w:tcBorders>
              <w:top w:val="single" w:sz="4" w:space="0" w:color="auto"/>
              <w:left w:val="nil"/>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费 率</w:t>
            </w:r>
          </w:p>
        </w:tc>
      </w:tr>
      <w:tr w:rsidR="009A46AD" w:rsidRPr="00E47939" w:rsidTr="00A553A5">
        <w:trPr>
          <w:trHeight w:val="719"/>
          <w:jc w:val="center"/>
        </w:trPr>
        <w:tc>
          <w:tcPr>
            <w:tcW w:w="2721" w:type="dxa"/>
            <w:tcBorders>
              <w:top w:val="nil"/>
              <w:left w:val="single" w:sz="4" w:space="0" w:color="auto"/>
              <w:bottom w:val="single" w:sz="4" w:space="0" w:color="auto"/>
              <w:right w:val="single" w:sz="4" w:space="0" w:color="auto"/>
            </w:tcBorders>
            <w:vAlign w:val="center"/>
            <w:hideMark/>
          </w:tcPr>
          <w:p w:rsidR="009A46AD" w:rsidRPr="00E47939" w:rsidRDefault="009A46AD" w:rsidP="00A553A5">
            <w:pPr>
              <w:jc w:val="left"/>
              <w:rPr>
                <w:rFonts w:ascii="宋体" w:hAnsi="宋体"/>
              </w:rPr>
            </w:pPr>
            <w:r w:rsidRPr="00E47939">
              <w:rPr>
                <w:rFonts w:ascii="宋体" w:hAnsi="宋体" w:hint="eastAsia"/>
              </w:rPr>
              <w:t>在有害身体健康的环境中施工增加费</w:t>
            </w:r>
          </w:p>
        </w:tc>
        <w:tc>
          <w:tcPr>
            <w:tcW w:w="6674" w:type="dxa"/>
            <w:tcBorders>
              <w:top w:val="nil"/>
              <w:left w:val="nil"/>
              <w:bottom w:val="single" w:sz="4" w:space="0" w:color="auto"/>
              <w:right w:val="single" w:sz="4" w:space="0" w:color="auto"/>
            </w:tcBorders>
            <w:vAlign w:val="center"/>
            <w:hideMark/>
          </w:tcPr>
          <w:p w:rsidR="009A46AD" w:rsidRPr="00E47939" w:rsidRDefault="009A46AD" w:rsidP="00A553A5">
            <w:pPr>
              <w:jc w:val="left"/>
              <w:rPr>
                <w:rFonts w:ascii="宋体" w:hAnsi="宋体"/>
              </w:rPr>
            </w:pPr>
            <w:r w:rsidRPr="00E47939">
              <w:rPr>
                <w:rFonts w:ascii="宋体" w:hAnsi="宋体" w:hint="eastAsia"/>
              </w:rPr>
              <w:t>按人工费的9.53%计算</w:t>
            </w:r>
            <w:r>
              <w:rPr>
                <w:rFonts w:ascii="宋体" w:hAnsi="宋体" w:hint="eastAsia"/>
              </w:rPr>
              <w:t>；</w:t>
            </w:r>
            <w:r w:rsidRPr="00E47939">
              <w:rPr>
                <w:rFonts w:ascii="宋体" w:hAnsi="宋体" w:hint="eastAsia"/>
              </w:rPr>
              <w:t>其中人工费占在有害身体健康环境中施工增加费的5.25%。</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5.安全文明施工费</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60"/>
        <w:gridCol w:w="1867"/>
        <w:gridCol w:w="1868"/>
        <w:gridCol w:w="1867"/>
        <w:gridCol w:w="1868"/>
      </w:tblGrid>
      <w:tr w:rsidR="009A46AD" w:rsidTr="00A553A5">
        <w:trPr>
          <w:trHeight w:val="736"/>
          <w:jc w:val="center"/>
        </w:trPr>
        <w:tc>
          <w:tcPr>
            <w:tcW w:w="19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项目名称</w:t>
            </w:r>
          </w:p>
        </w:tc>
        <w:tc>
          <w:tcPr>
            <w:tcW w:w="3735"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通用安装工程:第1～4册、6～12册</w:t>
            </w:r>
          </w:p>
        </w:tc>
        <w:tc>
          <w:tcPr>
            <w:tcW w:w="3735"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通用安装工程:第5册</w:t>
            </w:r>
          </w:p>
        </w:tc>
      </w:tr>
      <w:tr w:rsidR="009A46AD" w:rsidTr="00A553A5">
        <w:trPr>
          <w:trHeight w:val="382"/>
          <w:jc w:val="center"/>
        </w:trPr>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五环以内</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五环以外</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五环以内</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五环以外</w:t>
            </w:r>
          </w:p>
        </w:tc>
      </w:tr>
      <w:tr w:rsidR="009A46AD" w:rsidTr="00A553A5">
        <w:trPr>
          <w:trHeight w:val="354"/>
          <w:jc w:val="center"/>
        </w:trPr>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计费基数</w:t>
            </w:r>
          </w:p>
        </w:tc>
        <w:tc>
          <w:tcPr>
            <w:tcW w:w="7470" w:type="dxa"/>
            <w:gridSpan w:val="4"/>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人工费</w:t>
            </w:r>
          </w:p>
        </w:tc>
      </w:tr>
      <w:tr w:rsidR="009A46AD" w:rsidTr="00A553A5">
        <w:trPr>
          <w:trHeight w:val="368"/>
          <w:jc w:val="center"/>
        </w:trPr>
        <w:tc>
          <w:tcPr>
            <w:tcW w:w="1928"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费率（%）</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20.86</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18.20</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15.74</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13.74</w:t>
            </w:r>
          </w:p>
        </w:tc>
      </w:tr>
      <w:tr w:rsidR="009A46AD" w:rsidTr="00A553A5">
        <w:trPr>
          <w:trHeight w:val="368"/>
          <w:jc w:val="center"/>
        </w:trPr>
        <w:tc>
          <w:tcPr>
            <w:tcW w:w="66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其中</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环境保护</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2.93</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2.65</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2.14</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2.00</w:t>
            </w:r>
          </w:p>
        </w:tc>
      </w:tr>
      <w:tr w:rsidR="009A46AD" w:rsidTr="00A553A5">
        <w:trPr>
          <w:trHeight w:val="382"/>
          <w:jc w:val="center"/>
        </w:trPr>
        <w:tc>
          <w:tcPr>
            <w:tcW w:w="66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文明施工</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6.39</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5.64</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4.92</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4.28</w:t>
            </w:r>
          </w:p>
        </w:tc>
      </w:tr>
      <w:tr w:rsidR="009A46AD" w:rsidTr="00A553A5">
        <w:trPr>
          <w:trHeight w:val="368"/>
          <w:jc w:val="center"/>
        </w:trPr>
        <w:tc>
          <w:tcPr>
            <w:tcW w:w="66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安全施工</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7.13</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6.31</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5.36</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4.65</w:t>
            </w:r>
          </w:p>
        </w:tc>
      </w:tr>
      <w:tr w:rsidR="009A46AD" w:rsidTr="00A553A5">
        <w:trPr>
          <w:trHeight w:val="396"/>
          <w:jc w:val="center"/>
        </w:trPr>
        <w:tc>
          <w:tcPr>
            <w:tcW w:w="66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临时设施</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4.40</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3.60</w:t>
            </w:r>
          </w:p>
        </w:tc>
        <w:tc>
          <w:tcPr>
            <w:tcW w:w="186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3.32</w:t>
            </w:r>
          </w:p>
        </w:tc>
        <w:tc>
          <w:tcPr>
            <w:tcW w:w="18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tabs>
                <w:tab w:val="right" w:leader="dot" w:pos="8931"/>
              </w:tabs>
              <w:spacing w:line="345" w:lineRule="atLeast"/>
              <w:jc w:val="center"/>
              <w:rPr>
                <w:rFonts w:ascii="宋体" w:hAnsi="宋体"/>
              </w:rPr>
            </w:pPr>
            <w:r w:rsidRPr="00E47939">
              <w:rPr>
                <w:rFonts w:ascii="宋体" w:hAnsi="宋体" w:hint="eastAsia"/>
              </w:rPr>
              <w:t>2.82</w:t>
            </w:r>
          </w:p>
        </w:tc>
      </w:tr>
    </w:tbl>
    <w:p w:rsidR="009A46AD" w:rsidRPr="00914C3C" w:rsidRDefault="009A46AD" w:rsidP="009A46AD">
      <w:pPr>
        <w:spacing w:line="276" w:lineRule="auto"/>
        <w:rPr>
          <w:rFonts w:ascii="宋体" w:hAnsi="宋体"/>
        </w:rPr>
      </w:pPr>
      <w:r w:rsidRPr="00914C3C">
        <w:rPr>
          <w:rFonts w:ascii="宋体" w:hAnsi="宋体" w:hint="eastAsia"/>
        </w:rPr>
        <w:t>说明：安全文明施工费按以上标准计取,其中人工费</w:t>
      </w:r>
      <w:proofErr w:type="gramStart"/>
      <w:r w:rsidRPr="00914C3C">
        <w:rPr>
          <w:rFonts w:ascii="宋体" w:hAnsi="宋体" w:hint="eastAsia"/>
        </w:rPr>
        <w:t>占安全</w:t>
      </w:r>
      <w:proofErr w:type="gramEnd"/>
      <w:r w:rsidRPr="00914C3C">
        <w:rPr>
          <w:rFonts w:ascii="宋体" w:hAnsi="宋体" w:hint="eastAsia"/>
        </w:rPr>
        <w:t>文明施工费的10.47%。</w:t>
      </w:r>
    </w:p>
    <w:p w:rsidR="009A46AD" w:rsidRPr="006B1497" w:rsidRDefault="009A46AD" w:rsidP="009A46AD">
      <w:pPr>
        <w:spacing w:line="360" w:lineRule="auto"/>
        <w:rPr>
          <w:rFonts w:ascii="宋体"/>
          <w:spacing w:val="6"/>
          <w:sz w:val="24"/>
        </w:rPr>
      </w:pPr>
      <w:r w:rsidRPr="006B1497">
        <w:rPr>
          <w:rFonts w:ascii="宋体" w:hint="eastAsia"/>
          <w:spacing w:val="6"/>
          <w:sz w:val="24"/>
        </w:rPr>
        <w:t>6.企业管理费</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19"/>
        <w:gridCol w:w="546"/>
        <w:gridCol w:w="1641"/>
        <w:gridCol w:w="1027"/>
        <w:gridCol w:w="2295"/>
        <w:gridCol w:w="2570"/>
      </w:tblGrid>
      <w:tr w:rsidR="009A46AD" w:rsidRPr="00E47939" w:rsidTr="00A553A5">
        <w:trPr>
          <w:trHeight w:val="340"/>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序号</w:t>
            </w:r>
          </w:p>
        </w:tc>
        <w:tc>
          <w:tcPr>
            <w:tcW w:w="270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项目名称</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计费</w:t>
            </w:r>
          </w:p>
          <w:p w:rsidR="009A46AD" w:rsidRPr="00E47939" w:rsidRDefault="009A46AD" w:rsidP="00A553A5">
            <w:pPr>
              <w:jc w:val="center"/>
              <w:rPr>
                <w:rFonts w:ascii="宋体" w:hAnsi="宋体"/>
                <w:szCs w:val="21"/>
              </w:rPr>
            </w:pPr>
            <w:r w:rsidRPr="00E47939">
              <w:rPr>
                <w:rFonts w:ascii="宋体" w:hAnsi="宋体" w:hint="eastAsia"/>
                <w:szCs w:val="21"/>
              </w:rPr>
              <w:t>基数</w:t>
            </w: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企业管理费率（%）</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其中</w:t>
            </w:r>
          </w:p>
        </w:tc>
      </w:tr>
      <w:tr w:rsidR="009A46AD" w:rsidRPr="00E47939" w:rsidTr="00A553A5">
        <w:trPr>
          <w:trHeight w:val="340"/>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706" w:type="dxa"/>
            <w:gridSpan w:val="3"/>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现场管理费率（%）</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w:t>
            </w:r>
          </w:p>
        </w:tc>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住宅建筑</w:t>
            </w:r>
          </w:p>
        </w:tc>
        <w:tc>
          <w:tcPr>
            <w:tcW w:w="54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roofErr w:type="gramStart"/>
            <w:r w:rsidRPr="00E47939">
              <w:rPr>
                <w:rFonts w:ascii="宋体" w:hAnsi="宋体" w:hint="eastAsia"/>
                <w:szCs w:val="21"/>
              </w:rPr>
              <w:t>檐</w:t>
            </w:r>
            <w:proofErr w:type="gramEnd"/>
          </w:p>
          <w:p w:rsidR="009A46AD" w:rsidRPr="00E47939" w:rsidRDefault="009A46AD" w:rsidP="00A553A5">
            <w:pPr>
              <w:jc w:val="center"/>
              <w:rPr>
                <w:rFonts w:ascii="宋体" w:hAnsi="宋体"/>
                <w:szCs w:val="21"/>
              </w:rPr>
            </w:pPr>
            <w:r w:rsidRPr="00E47939">
              <w:rPr>
                <w:rFonts w:ascii="宋体" w:hAnsi="宋体" w:hint="eastAsia"/>
                <w:szCs w:val="21"/>
              </w:rPr>
              <w:t>高</w:t>
            </w: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25 m以下</w:t>
            </w:r>
          </w:p>
        </w:tc>
        <w:tc>
          <w:tcPr>
            <w:tcW w:w="102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人工费</w:t>
            </w: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60.30</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25.32</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45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65.27</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28.08</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80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66.84</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29.46</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4</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80 m以上</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67.99</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30.64</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lastRenderedPageBreak/>
              <w:t>5</w:t>
            </w:r>
          </w:p>
        </w:tc>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公共建筑</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25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62.29</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26.36</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45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67.38</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29.17</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7</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80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69.32</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30.72</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120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70.82</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32.07</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9</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200 m以下</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72.22</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33.43</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w:t>
            </w: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641"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200 m以上</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73.54</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34.79</w:t>
            </w:r>
          </w:p>
        </w:tc>
      </w:tr>
      <w:tr w:rsidR="009A46AD" w:rsidRPr="00E47939" w:rsidTr="00A553A5">
        <w:trPr>
          <w:trHeight w:val="34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11</w:t>
            </w:r>
          </w:p>
        </w:tc>
        <w:tc>
          <w:tcPr>
            <w:tcW w:w="2706"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其他</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65.37</w:t>
            </w:r>
          </w:p>
        </w:tc>
        <w:tc>
          <w:tcPr>
            <w:tcW w:w="25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27.37</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04 市政工程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755" w:type="dxa"/>
        <w:jc w:val="center"/>
        <w:tblLayout w:type="fixed"/>
        <w:tblLook w:val="04A0" w:firstRow="1" w:lastRow="0" w:firstColumn="1" w:lastColumn="0" w:noHBand="0" w:noVBand="1"/>
      </w:tblPr>
      <w:tblGrid>
        <w:gridCol w:w="469"/>
        <w:gridCol w:w="1198"/>
        <w:gridCol w:w="354"/>
        <w:gridCol w:w="1289"/>
        <w:gridCol w:w="1289"/>
        <w:gridCol w:w="1289"/>
        <w:gridCol w:w="1289"/>
        <w:gridCol w:w="1289"/>
        <w:gridCol w:w="1289"/>
      </w:tblGrid>
      <w:tr w:rsidR="009A46AD" w:rsidRPr="00E47939" w:rsidTr="00A553A5">
        <w:trPr>
          <w:trHeight w:val="389"/>
          <w:jc w:val="center"/>
        </w:trPr>
        <w:tc>
          <w:tcPr>
            <w:tcW w:w="2021"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项目名称</w:t>
            </w:r>
          </w:p>
        </w:tc>
        <w:tc>
          <w:tcPr>
            <w:tcW w:w="257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道路工程</w:t>
            </w:r>
          </w:p>
        </w:tc>
        <w:tc>
          <w:tcPr>
            <w:tcW w:w="257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桥梁工程</w:t>
            </w:r>
          </w:p>
        </w:tc>
        <w:tc>
          <w:tcPr>
            <w:tcW w:w="2578"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管道工程</w:t>
            </w:r>
          </w:p>
        </w:tc>
      </w:tr>
      <w:tr w:rsidR="009A46AD" w:rsidRPr="00E47939" w:rsidTr="00A553A5">
        <w:trPr>
          <w:trHeight w:val="312"/>
          <w:jc w:val="center"/>
        </w:trPr>
        <w:tc>
          <w:tcPr>
            <w:tcW w:w="2021" w:type="dxa"/>
            <w:gridSpan w:val="3"/>
            <w:vMerge/>
            <w:tcBorders>
              <w:top w:val="single" w:sz="8" w:space="0" w:color="auto"/>
              <w:left w:val="single" w:sz="8" w:space="0" w:color="auto"/>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2578" w:type="dxa"/>
            <w:gridSpan w:val="2"/>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2578" w:type="dxa"/>
            <w:gridSpan w:val="2"/>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2578" w:type="dxa"/>
            <w:gridSpan w:val="2"/>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r>
      <w:tr w:rsidR="009A46AD" w:rsidRPr="00E47939" w:rsidTr="00A553A5">
        <w:trPr>
          <w:trHeight w:val="389"/>
          <w:jc w:val="center"/>
        </w:trPr>
        <w:tc>
          <w:tcPr>
            <w:tcW w:w="2021" w:type="dxa"/>
            <w:gridSpan w:val="3"/>
            <w:vMerge/>
            <w:tcBorders>
              <w:top w:val="single" w:sz="8" w:space="0" w:color="auto"/>
              <w:left w:val="single" w:sz="8" w:space="0" w:color="auto"/>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val="restart"/>
            <w:tcBorders>
              <w:top w:val="nil"/>
              <w:left w:val="nil"/>
              <w:bottom w:val="nil"/>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五环路以内</w:t>
            </w:r>
          </w:p>
        </w:tc>
        <w:tc>
          <w:tcPr>
            <w:tcW w:w="1289" w:type="dxa"/>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五环路以外</w:t>
            </w:r>
          </w:p>
        </w:tc>
        <w:tc>
          <w:tcPr>
            <w:tcW w:w="1289" w:type="dxa"/>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五环路以内</w:t>
            </w:r>
          </w:p>
        </w:tc>
        <w:tc>
          <w:tcPr>
            <w:tcW w:w="1289" w:type="dxa"/>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五环路以外</w:t>
            </w:r>
          </w:p>
        </w:tc>
        <w:tc>
          <w:tcPr>
            <w:tcW w:w="1289" w:type="dxa"/>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五环路以内</w:t>
            </w:r>
          </w:p>
        </w:tc>
        <w:tc>
          <w:tcPr>
            <w:tcW w:w="1289" w:type="dxa"/>
            <w:vMerge w:val="restart"/>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五环路以外</w:t>
            </w:r>
          </w:p>
        </w:tc>
      </w:tr>
      <w:tr w:rsidR="009A46AD" w:rsidRPr="00E47939" w:rsidTr="00A553A5">
        <w:trPr>
          <w:trHeight w:val="389"/>
          <w:jc w:val="center"/>
        </w:trPr>
        <w:tc>
          <w:tcPr>
            <w:tcW w:w="2021" w:type="dxa"/>
            <w:gridSpan w:val="3"/>
            <w:vMerge/>
            <w:tcBorders>
              <w:top w:val="single" w:sz="8" w:space="0" w:color="auto"/>
              <w:left w:val="single" w:sz="8" w:space="0" w:color="auto"/>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nil"/>
              <w:left w:val="nil"/>
              <w:bottom w:val="nil"/>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c>
          <w:tcPr>
            <w:tcW w:w="1289" w:type="dxa"/>
            <w:vMerge/>
            <w:tcBorders>
              <w:top w:val="single" w:sz="8" w:space="0" w:color="auto"/>
              <w:left w:val="single" w:sz="8" w:space="0" w:color="auto"/>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p>
        </w:tc>
      </w:tr>
      <w:tr w:rsidR="009A46AD" w:rsidRPr="00E47939" w:rsidTr="00A553A5">
        <w:trPr>
          <w:trHeight w:val="333"/>
          <w:jc w:val="center"/>
        </w:trPr>
        <w:tc>
          <w:tcPr>
            <w:tcW w:w="2021" w:type="dxa"/>
            <w:gridSpan w:val="3"/>
            <w:tcBorders>
              <w:top w:val="single" w:sz="4" w:space="0" w:color="auto"/>
              <w:left w:val="single" w:sz="8" w:space="0" w:color="auto"/>
              <w:bottom w:val="single" w:sz="4" w:space="0" w:color="auto"/>
              <w:right w:val="single" w:sz="8" w:space="0" w:color="000000"/>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计费基数</w:t>
            </w:r>
          </w:p>
        </w:tc>
        <w:tc>
          <w:tcPr>
            <w:tcW w:w="7734" w:type="dxa"/>
            <w:gridSpan w:val="6"/>
            <w:tcBorders>
              <w:top w:val="single" w:sz="8" w:space="0" w:color="auto"/>
              <w:left w:val="nil"/>
              <w:bottom w:val="single" w:sz="8" w:space="0" w:color="auto"/>
              <w:right w:val="single" w:sz="8" w:space="0" w:color="000000"/>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除</w:t>
            </w:r>
            <w:proofErr w:type="gramStart"/>
            <w:r w:rsidRPr="00E47939">
              <w:rPr>
                <w:rFonts w:ascii="宋体" w:hAnsi="宋体" w:hint="eastAsia"/>
                <w:szCs w:val="21"/>
              </w:rPr>
              <w:t>税预算</w:t>
            </w:r>
            <w:proofErr w:type="gramEnd"/>
            <w:r w:rsidRPr="00E47939">
              <w:rPr>
                <w:rFonts w:ascii="宋体" w:hAnsi="宋体" w:hint="eastAsia"/>
                <w:szCs w:val="21"/>
              </w:rPr>
              <w:t>价</w:t>
            </w:r>
          </w:p>
        </w:tc>
      </w:tr>
      <w:tr w:rsidR="009A46AD" w:rsidRPr="00E47939" w:rsidTr="00A553A5">
        <w:trPr>
          <w:trHeight w:val="320"/>
          <w:jc w:val="center"/>
        </w:trPr>
        <w:tc>
          <w:tcPr>
            <w:tcW w:w="2021" w:type="dxa"/>
            <w:gridSpan w:val="3"/>
            <w:tcBorders>
              <w:top w:val="single" w:sz="4" w:space="0" w:color="auto"/>
              <w:left w:val="single" w:sz="8" w:space="0" w:color="auto"/>
              <w:bottom w:val="single" w:sz="4" w:space="0" w:color="auto"/>
              <w:right w:val="single" w:sz="8" w:space="0" w:color="000000"/>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费率（%）</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5.87</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5.22</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6.28</w:t>
            </w:r>
          </w:p>
        </w:tc>
        <w:tc>
          <w:tcPr>
            <w:tcW w:w="1289" w:type="dxa"/>
            <w:tcBorders>
              <w:top w:val="nil"/>
              <w:left w:val="nil"/>
              <w:bottom w:val="single" w:sz="4" w:space="0" w:color="auto"/>
              <w:right w:val="nil"/>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5.67</w:t>
            </w:r>
          </w:p>
        </w:tc>
        <w:tc>
          <w:tcPr>
            <w:tcW w:w="1289" w:type="dxa"/>
            <w:tcBorders>
              <w:top w:val="nil"/>
              <w:left w:val="single" w:sz="8"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6.07</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5.47</w:t>
            </w:r>
          </w:p>
        </w:tc>
      </w:tr>
      <w:tr w:rsidR="009A46AD" w:rsidRPr="00E47939" w:rsidTr="00A553A5">
        <w:trPr>
          <w:trHeight w:val="320"/>
          <w:jc w:val="center"/>
        </w:trPr>
        <w:tc>
          <w:tcPr>
            <w:tcW w:w="469" w:type="dxa"/>
            <w:vMerge w:val="restart"/>
            <w:tcBorders>
              <w:top w:val="nil"/>
              <w:left w:val="single" w:sz="8" w:space="0" w:color="auto"/>
              <w:bottom w:val="single" w:sz="8" w:space="0" w:color="000000"/>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其中</w:t>
            </w:r>
          </w:p>
        </w:tc>
        <w:tc>
          <w:tcPr>
            <w:tcW w:w="1198"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环境保护</w:t>
            </w:r>
          </w:p>
        </w:tc>
        <w:tc>
          <w:tcPr>
            <w:tcW w:w="354"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1.32</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1.10</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1.43</w:t>
            </w:r>
          </w:p>
        </w:tc>
        <w:tc>
          <w:tcPr>
            <w:tcW w:w="1289" w:type="dxa"/>
            <w:tcBorders>
              <w:top w:val="nil"/>
              <w:left w:val="nil"/>
              <w:bottom w:val="single" w:sz="4" w:space="0" w:color="auto"/>
              <w:right w:val="nil"/>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1.27</w:t>
            </w:r>
          </w:p>
        </w:tc>
        <w:tc>
          <w:tcPr>
            <w:tcW w:w="1289" w:type="dxa"/>
            <w:tcBorders>
              <w:top w:val="nil"/>
              <w:left w:val="single" w:sz="8"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1.33</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0.95</w:t>
            </w:r>
          </w:p>
        </w:tc>
      </w:tr>
      <w:tr w:rsidR="009A46AD" w:rsidRPr="00E47939" w:rsidTr="00A553A5">
        <w:trPr>
          <w:trHeight w:val="320"/>
          <w:jc w:val="center"/>
        </w:trPr>
        <w:tc>
          <w:tcPr>
            <w:tcW w:w="469" w:type="dxa"/>
            <w:vMerge/>
            <w:tcBorders>
              <w:top w:val="nil"/>
              <w:left w:val="single" w:sz="8" w:space="0" w:color="auto"/>
              <w:bottom w:val="single" w:sz="8" w:space="0" w:color="000000"/>
              <w:right w:val="single" w:sz="4" w:space="0" w:color="auto"/>
            </w:tcBorders>
            <w:vAlign w:val="center"/>
            <w:hideMark/>
          </w:tcPr>
          <w:p w:rsidR="009A46AD" w:rsidRPr="00E47939" w:rsidRDefault="009A46AD" w:rsidP="00A553A5">
            <w:pPr>
              <w:jc w:val="center"/>
              <w:rPr>
                <w:rFonts w:ascii="宋体" w:hAnsi="宋体"/>
                <w:szCs w:val="21"/>
              </w:rPr>
            </w:pPr>
          </w:p>
        </w:tc>
        <w:tc>
          <w:tcPr>
            <w:tcW w:w="1198"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文明施工</w:t>
            </w:r>
          </w:p>
        </w:tc>
        <w:tc>
          <w:tcPr>
            <w:tcW w:w="354"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0.93</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0.77</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1.03</w:t>
            </w:r>
          </w:p>
        </w:tc>
        <w:tc>
          <w:tcPr>
            <w:tcW w:w="1289" w:type="dxa"/>
            <w:tcBorders>
              <w:top w:val="nil"/>
              <w:left w:val="nil"/>
              <w:bottom w:val="single" w:sz="4" w:space="0" w:color="auto"/>
              <w:right w:val="nil"/>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0.96</w:t>
            </w:r>
          </w:p>
        </w:tc>
        <w:tc>
          <w:tcPr>
            <w:tcW w:w="1289" w:type="dxa"/>
            <w:tcBorders>
              <w:top w:val="nil"/>
              <w:left w:val="single" w:sz="8"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1.01</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1.62</w:t>
            </w:r>
          </w:p>
        </w:tc>
      </w:tr>
      <w:tr w:rsidR="009A46AD" w:rsidRPr="00E47939" w:rsidTr="00A553A5">
        <w:trPr>
          <w:trHeight w:val="320"/>
          <w:jc w:val="center"/>
        </w:trPr>
        <w:tc>
          <w:tcPr>
            <w:tcW w:w="469" w:type="dxa"/>
            <w:vMerge/>
            <w:tcBorders>
              <w:top w:val="nil"/>
              <w:left w:val="single" w:sz="8" w:space="0" w:color="auto"/>
              <w:bottom w:val="single" w:sz="8" w:space="0" w:color="000000"/>
              <w:right w:val="single" w:sz="4" w:space="0" w:color="auto"/>
            </w:tcBorders>
            <w:vAlign w:val="center"/>
            <w:hideMark/>
          </w:tcPr>
          <w:p w:rsidR="009A46AD" w:rsidRPr="00E47939" w:rsidRDefault="009A46AD" w:rsidP="00A553A5">
            <w:pPr>
              <w:jc w:val="center"/>
              <w:rPr>
                <w:rFonts w:ascii="宋体" w:hAnsi="宋体"/>
                <w:szCs w:val="21"/>
              </w:rPr>
            </w:pPr>
          </w:p>
        </w:tc>
        <w:tc>
          <w:tcPr>
            <w:tcW w:w="1198"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安全施工</w:t>
            </w:r>
          </w:p>
        </w:tc>
        <w:tc>
          <w:tcPr>
            <w:tcW w:w="354"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1.39</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1.31</w:t>
            </w:r>
          </w:p>
        </w:tc>
        <w:tc>
          <w:tcPr>
            <w:tcW w:w="1289" w:type="dxa"/>
            <w:tcBorders>
              <w:top w:val="nil"/>
              <w:left w:val="nil"/>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1.42</w:t>
            </w:r>
          </w:p>
        </w:tc>
        <w:tc>
          <w:tcPr>
            <w:tcW w:w="1289" w:type="dxa"/>
            <w:tcBorders>
              <w:top w:val="nil"/>
              <w:left w:val="nil"/>
              <w:bottom w:val="single" w:sz="4" w:space="0" w:color="auto"/>
              <w:right w:val="nil"/>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1.36</w:t>
            </w:r>
          </w:p>
        </w:tc>
        <w:tc>
          <w:tcPr>
            <w:tcW w:w="1289" w:type="dxa"/>
            <w:tcBorders>
              <w:top w:val="nil"/>
              <w:left w:val="single" w:sz="8"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1.40</w:t>
            </w:r>
          </w:p>
        </w:tc>
        <w:tc>
          <w:tcPr>
            <w:tcW w:w="1289" w:type="dxa"/>
            <w:tcBorders>
              <w:top w:val="nil"/>
              <w:left w:val="nil"/>
              <w:bottom w:val="single" w:sz="4"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1.12</w:t>
            </w:r>
          </w:p>
        </w:tc>
      </w:tr>
      <w:tr w:rsidR="009A46AD" w:rsidRPr="00E47939" w:rsidTr="00A553A5">
        <w:trPr>
          <w:trHeight w:val="333"/>
          <w:jc w:val="center"/>
        </w:trPr>
        <w:tc>
          <w:tcPr>
            <w:tcW w:w="469" w:type="dxa"/>
            <w:vMerge/>
            <w:tcBorders>
              <w:top w:val="nil"/>
              <w:left w:val="single" w:sz="8" w:space="0" w:color="auto"/>
              <w:bottom w:val="single" w:sz="8" w:space="0" w:color="000000"/>
              <w:right w:val="single" w:sz="4" w:space="0" w:color="auto"/>
            </w:tcBorders>
            <w:vAlign w:val="center"/>
            <w:hideMark/>
          </w:tcPr>
          <w:p w:rsidR="009A46AD" w:rsidRPr="00E47939" w:rsidRDefault="009A46AD" w:rsidP="00A553A5">
            <w:pPr>
              <w:jc w:val="center"/>
              <w:rPr>
                <w:rFonts w:ascii="宋体" w:hAnsi="宋体"/>
                <w:szCs w:val="21"/>
              </w:rPr>
            </w:pPr>
          </w:p>
        </w:tc>
        <w:tc>
          <w:tcPr>
            <w:tcW w:w="1198" w:type="dxa"/>
            <w:tcBorders>
              <w:top w:val="nil"/>
              <w:left w:val="nil"/>
              <w:bottom w:val="single" w:sz="8"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临时设施</w:t>
            </w:r>
          </w:p>
        </w:tc>
        <w:tc>
          <w:tcPr>
            <w:tcW w:w="354" w:type="dxa"/>
            <w:tcBorders>
              <w:top w:val="nil"/>
              <w:left w:val="nil"/>
              <w:bottom w:val="single" w:sz="8" w:space="0" w:color="auto"/>
              <w:right w:val="single" w:sz="8"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289" w:type="dxa"/>
            <w:tcBorders>
              <w:top w:val="nil"/>
              <w:left w:val="nil"/>
              <w:bottom w:val="single" w:sz="8" w:space="0" w:color="auto"/>
              <w:right w:val="single" w:sz="4"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2.22</w:t>
            </w:r>
          </w:p>
        </w:tc>
        <w:tc>
          <w:tcPr>
            <w:tcW w:w="1289" w:type="dxa"/>
            <w:tcBorders>
              <w:top w:val="nil"/>
              <w:left w:val="nil"/>
              <w:bottom w:val="single" w:sz="8" w:space="0" w:color="auto"/>
              <w:right w:val="single" w:sz="4"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2.04</w:t>
            </w:r>
          </w:p>
        </w:tc>
        <w:tc>
          <w:tcPr>
            <w:tcW w:w="1289" w:type="dxa"/>
            <w:tcBorders>
              <w:top w:val="nil"/>
              <w:left w:val="single" w:sz="8"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2.40</w:t>
            </w:r>
          </w:p>
        </w:tc>
        <w:tc>
          <w:tcPr>
            <w:tcW w:w="1289" w:type="dxa"/>
            <w:tcBorders>
              <w:top w:val="nil"/>
              <w:left w:val="nil"/>
              <w:bottom w:val="single" w:sz="8" w:space="0" w:color="auto"/>
              <w:right w:val="single" w:sz="4"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2.08</w:t>
            </w:r>
          </w:p>
        </w:tc>
        <w:tc>
          <w:tcPr>
            <w:tcW w:w="1289" w:type="dxa"/>
            <w:tcBorders>
              <w:top w:val="nil"/>
              <w:left w:val="single" w:sz="8"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2.33</w:t>
            </w:r>
          </w:p>
        </w:tc>
        <w:tc>
          <w:tcPr>
            <w:tcW w:w="1289" w:type="dxa"/>
            <w:tcBorders>
              <w:top w:val="nil"/>
              <w:left w:val="nil"/>
              <w:bottom w:val="single" w:sz="8" w:space="0" w:color="auto"/>
              <w:right w:val="single" w:sz="8" w:space="0" w:color="auto"/>
            </w:tcBorders>
            <w:shd w:val="clear" w:color="auto" w:fill="FFFFFF"/>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1.78</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646"/>
        <w:gridCol w:w="1440"/>
        <w:gridCol w:w="720"/>
        <w:gridCol w:w="2520"/>
        <w:gridCol w:w="2793"/>
      </w:tblGrid>
      <w:tr w:rsidR="009A46AD" w:rsidRPr="00E47939" w:rsidTr="00A553A5">
        <w:trPr>
          <w:trHeight w:val="397"/>
          <w:jc w:val="center"/>
        </w:trPr>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序号</w:t>
            </w:r>
          </w:p>
        </w:tc>
        <w:tc>
          <w:tcPr>
            <w:tcW w:w="3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项目名称</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计费基数</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企业管理费率（%）</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其中</w:t>
            </w:r>
          </w:p>
        </w:tc>
      </w:tr>
      <w:tr w:rsidR="009A46AD" w:rsidRPr="00E47939" w:rsidTr="00A553A5">
        <w:trPr>
          <w:trHeight w:val="397"/>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3086"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现场管理费率（%）</w:t>
            </w:r>
          </w:p>
        </w:tc>
      </w:tr>
      <w:tr w:rsidR="009A46AD" w:rsidRPr="00E47939" w:rsidTr="00A553A5">
        <w:trPr>
          <w:trHeight w:val="39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w:t>
            </w:r>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道路、桥梁工程</w:t>
            </w:r>
          </w:p>
        </w:tc>
        <w:tc>
          <w:tcPr>
            <w:tcW w:w="144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道路</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除</w:t>
            </w:r>
          </w:p>
          <w:p w:rsidR="009A46AD" w:rsidRPr="00E47939" w:rsidRDefault="009A46AD" w:rsidP="00A553A5">
            <w:pPr>
              <w:jc w:val="center"/>
              <w:rPr>
                <w:rFonts w:ascii="宋体" w:hAnsi="宋体"/>
                <w:szCs w:val="21"/>
              </w:rPr>
            </w:pPr>
            <w:r w:rsidRPr="00E47939">
              <w:rPr>
                <w:rFonts w:ascii="宋体" w:hAnsi="宋体" w:hint="eastAsia"/>
                <w:szCs w:val="21"/>
              </w:rPr>
              <w:t>税</w:t>
            </w:r>
          </w:p>
          <w:p w:rsidR="009A46AD" w:rsidRPr="00E47939" w:rsidRDefault="009A46AD" w:rsidP="00A553A5">
            <w:pPr>
              <w:jc w:val="center"/>
              <w:rPr>
                <w:rFonts w:ascii="宋体" w:hAnsi="宋体"/>
                <w:szCs w:val="21"/>
              </w:rPr>
            </w:pPr>
            <w:r w:rsidRPr="00E47939">
              <w:rPr>
                <w:rFonts w:ascii="宋体" w:hAnsi="宋体" w:hint="eastAsia"/>
                <w:szCs w:val="21"/>
              </w:rPr>
              <w:t>预</w:t>
            </w:r>
          </w:p>
          <w:p w:rsidR="009A46AD" w:rsidRPr="00E47939" w:rsidRDefault="009A46AD" w:rsidP="00A553A5">
            <w:pPr>
              <w:jc w:val="center"/>
              <w:rPr>
                <w:rFonts w:ascii="宋体" w:hAnsi="宋体"/>
                <w:szCs w:val="21"/>
              </w:rPr>
            </w:pPr>
            <w:r w:rsidRPr="00E47939">
              <w:rPr>
                <w:rFonts w:ascii="宋体" w:hAnsi="宋体" w:hint="eastAsia"/>
                <w:szCs w:val="21"/>
              </w:rPr>
              <w:t>算</w:t>
            </w:r>
          </w:p>
          <w:p w:rsidR="009A46AD" w:rsidRPr="00E47939" w:rsidRDefault="009A46AD" w:rsidP="00A553A5">
            <w:pPr>
              <w:jc w:val="center"/>
              <w:rPr>
                <w:rFonts w:ascii="宋体" w:hAnsi="宋体"/>
                <w:szCs w:val="21"/>
              </w:rPr>
            </w:pPr>
            <w:r w:rsidRPr="00E47939">
              <w:rPr>
                <w:rFonts w:ascii="宋体" w:hAnsi="宋体" w:hint="eastAsia"/>
                <w:szCs w:val="21"/>
              </w:rPr>
              <w:t>价</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9.33</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3.93</w:t>
            </w:r>
          </w:p>
        </w:tc>
      </w:tr>
      <w:tr w:rsidR="009A46AD" w:rsidRPr="00E47939" w:rsidTr="00A553A5">
        <w:trPr>
          <w:trHeight w:val="39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桥梁</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9.40</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3.96</w:t>
            </w:r>
          </w:p>
        </w:tc>
      </w:tr>
      <w:tr w:rsidR="009A46AD" w:rsidRPr="00E47939" w:rsidTr="00A553A5">
        <w:trPr>
          <w:trHeight w:val="39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w:t>
            </w:r>
          </w:p>
        </w:tc>
        <w:tc>
          <w:tcPr>
            <w:tcW w:w="164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管道工程</w:t>
            </w:r>
          </w:p>
        </w:tc>
        <w:tc>
          <w:tcPr>
            <w:tcW w:w="144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给水</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7.37</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3.18</w:t>
            </w:r>
          </w:p>
        </w:tc>
      </w:tr>
      <w:tr w:rsidR="009A46AD" w:rsidRPr="00E47939" w:rsidTr="00A553A5">
        <w:trPr>
          <w:trHeight w:val="39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4</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排水</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9.32</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3.90</w:t>
            </w:r>
          </w:p>
        </w:tc>
      </w:tr>
      <w:tr w:rsidR="009A46AD" w:rsidRPr="00E47939" w:rsidTr="00A553A5">
        <w:trPr>
          <w:trHeight w:val="397"/>
          <w:jc w:val="center"/>
        </w:trPr>
        <w:tc>
          <w:tcPr>
            <w:tcW w:w="52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燃气、热力</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8.29</w:t>
            </w:r>
          </w:p>
        </w:tc>
        <w:tc>
          <w:tcPr>
            <w:tcW w:w="279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3.51</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05 园林绿化工程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322"/>
        <w:gridCol w:w="786"/>
        <w:gridCol w:w="1764"/>
        <w:gridCol w:w="1765"/>
        <w:gridCol w:w="1764"/>
        <w:gridCol w:w="1765"/>
      </w:tblGrid>
      <w:tr w:rsidR="009A46AD" w:rsidRPr="00E47939" w:rsidTr="00A553A5">
        <w:trPr>
          <w:trHeight w:val="454"/>
          <w:jc w:val="center"/>
        </w:trPr>
        <w:tc>
          <w:tcPr>
            <w:tcW w:w="25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项目名称</w:t>
            </w:r>
          </w:p>
        </w:tc>
        <w:tc>
          <w:tcPr>
            <w:tcW w:w="3529"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绿化工程</w:t>
            </w:r>
          </w:p>
        </w:tc>
        <w:tc>
          <w:tcPr>
            <w:tcW w:w="3529"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庭园工程</w:t>
            </w:r>
          </w:p>
        </w:tc>
      </w:tr>
      <w:tr w:rsidR="009A46AD" w:rsidRPr="00E47939" w:rsidTr="00A553A5">
        <w:trPr>
          <w:trHeight w:val="454"/>
          <w:jc w:val="center"/>
        </w:trPr>
        <w:tc>
          <w:tcPr>
            <w:tcW w:w="2566" w:type="dxa"/>
            <w:gridSpan w:val="3"/>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五环路以内</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五环路以外</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五环路以内</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五环路以外</w:t>
            </w:r>
          </w:p>
        </w:tc>
      </w:tr>
      <w:tr w:rsidR="009A46AD" w:rsidRPr="00E47939" w:rsidTr="00A553A5">
        <w:trPr>
          <w:trHeight w:val="454"/>
          <w:jc w:val="center"/>
        </w:trPr>
        <w:tc>
          <w:tcPr>
            <w:tcW w:w="2566"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计费基数</w:t>
            </w:r>
          </w:p>
        </w:tc>
        <w:tc>
          <w:tcPr>
            <w:tcW w:w="3529"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人工费</w:t>
            </w:r>
          </w:p>
        </w:tc>
        <w:tc>
          <w:tcPr>
            <w:tcW w:w="3529"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除</w:t>
            </w:r>
            <w:proofErr w:type="gramStart"/>
            <w:r w:rsidRPr="00E47939">
              <w:rPr>
                <w:rFonts w:ascii="宋体" w:hAnsi="宋体" w:hint="eastAsia"/>
                <w:szCs w:val="21"/>
              </w:rPr>
              <w:t>税预算</w:t>
            </w:r>
            <w:proofErr w:type="gramEnd"/>
            <w:r w:rsidRPr="00E47939">
              <w:rPr>
                <w:rFonts w:ascii="宋体" w:hAnsi="宋体" w:hint="eastAsia"/>
                <w:szCs w:val="21"/>
              </w:rPr>
              <w:t>价</w:t>
            </w:r>
          </w:p>
        </w:tc>
      </w:tr>
      <w:tr w:rsidR="009A46AD" w:rsidRPr="00E47939" w:rsidTr="00A553A5">
        <w:trPr>
          <w:trHeight w:val="454"/>
          <w:jc w:val="center"/>
        </w:trPr>
        <w:tc>
          <w:tcPr>
            <w:tcW w:w="2566"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费率（%）</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8.67</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6.32</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5.18</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4.31</w:t>
            </w:r>
          </w:p>
        </w:tc>
      </w:tr>
      <w:tr w:rsidR="009A46AD" w:rsidRPr="00E47939" w:rsidTr="00A553A5">
        <w:trPr>
          <w:trHeight w:val="454"/>
          <w:jc w:val="center"/>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lastRenderedPageBreak/>
              <w:t>其中</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环境保护</w:t>
            </w:r>
          </w:p>
        </w:tc>
        <w:tc>
          <w:tcPr>
            <w:tcW w:w="78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2.17</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1.40</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1.24</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1.03</w:t>
            </w:r>
          </w:p>
        </w:tc>
      </w:tr>
      <w:tr w:rsidR="009A46AD" w:rsidRPr="00E47939" w:rsidTr="00A553A5">
        <w:trPr>
          <w:trHeight w:val="454"/>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文明施工</w:t>
            </w:r>
          </w:p>
        </w:tc>
        <w:tc>
          <w:tcPr>
            <w:tcW w:w="78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1.48</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1.01</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0.80</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0.66</w:t>
            </w:r>
          </w:p>
        </w:tc>
      </w:tr>
      <w:tr w:rsidR="009A46AD" w:rsidRPr="00E47939" w:rsidTr="00A553A5">
        <w:trPr>
          <w:trHeight w:val="454"/>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安全施工</w:t>
            </w:r>
          </w:p>
        </w:tc>
        <w:tc>
          <w:tcPr>
            <w:tcW w:w="78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1.82</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1.27</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1.19</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1.00</w:t>
            </w:r>
          </w:p>
        </w:tc>
      </w:tr>
      <w:tr w:rsidR="009A46AD" w:rsidRPr="00E47939" w:rsidTr="00A553A5">
        <w:trPr>
          <w:trHeight w:val="454"/>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临时设施</w:t>
            </w:r>
          </w:p>
        </w:tc>
        <w:tc>
          <w:tcPr>
            <w:tcW w:w="78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3.20</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2.64</w:t>
            </w:r>
          </w:p>
        </w:tc>
        <w:tc>
          <w:tcPr>
            <w:tcW w:w="176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1.95</w:t>
            </w:r>
          </w:p>
        </w:tc>
        <w:tc>
          <w:tcPr>
            <w:tcW w:w="176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szCs w:val="21"/>
              </w:rPr>
            </w:pPr>
            <w:r w:rsidRPr="00E47939">
              <w:rPr>
                <w:rFonts w:ascii="宋体" w:hAnsi="宋体" w:hint="eastAsia"/>
                <w:szCs w:val="21"/>
              </w:rPr>
              <w:t>1.62</w:t>
            </w:r>
          </w:p>
        </w:tc>
      </w:tr>
    </w:tbl>
    <w:p w:rsidR="009A46AD" w:rsidRDefault="009A46AD" w:rsidP="009A46AD">
      <w:pPr>
        <w:spacing w:line="360" w:lineRule="auto"/>
        <w:rPr>
          <w:rFonts w:ascii="宋体" w:hint="eastAsia"/>
          <w:spacing w:val="6"/>
          <w:sz w:val="24"/>
        </w:rPr>
      </w:pPr>
    </w:p>
    <w:p w:rsidR="009A46AD" w:rsidRDefault="009A46AD" w:rsidP="009A46AD">
      <w:pPr>
        <w:spacing w:line="360" w:lineRule="auto"/>
        <w:rPr>
          <w:rFonts w:ascii="宋体" w:hint="eastAsia"/>
          <w:spacing w:val="6"/>
          <w:sz w:val="24"/>
        </w:rPr>
      </w:pPr>
    </w:p>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894"/>
        <w:gridCol w:w="1445"/>
        <w:gridCol w:w="1994"/>
        <w:gridCol w:w="2348"/>
      </w:tblGrid>
      <w:tr w:rsidR="009A46AD" w:rsidRPr="00E47939" w:rsidTr="00A553A5">
        <w:trPr>
          <w:trHeight w:val="454"/>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序号</w:t>
            </w:r>
          </w:p>
        </w:tc>
        <w:tc>
          <w:tcPr>
            <w:tcW w:w="289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项目名称</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计费基数</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企业管理费率（%）</w:t>
            </w:r>
          </w:p>
        </w:tc>
        <w:tc>
          <w:tcPr>
            <w:tcW w:w="234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其中</w:t>
            </w:r>
          </w:p>
        </w:tc>
      </w:tr>
      <w:tr w:rsidR="009A46AD" w:rsidRPr="00E47939" w:rsidTr="00A553A5">
        <w:trPr>
          <w:trHeight w:val="454"/>
          <w:jc w:val="center"/>
        </w:trPr>
        <w:tc>
          <w:tcPr>
            <w:tcW w:w="470"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p>
        </w:tc>
        <w:tc>
          <w:tcPr>
            <w:tcW w:w="234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现场管理费率（%）</w:t>
            </w:r>
          </w:p>
        </w:tc>
      </w:tr>
      <w:tr w:rsidR="009A46AD" w:rsidRPr="00E47939" w:rsidTr="00A553A5">
        <w:trPr>
          <w:trHeight w:val="454"/>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1</w:t>
            </w:r>
          </w:p>
        </w:tc>
        <w:tc>
          <w:tcPr>
            <w:tcW w:w="289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绿化工程</w:t>
            </w:r>
          </w:p>
        </w:tc>
        <w:tc>
          <w:tcPr>
            <w:tcW w:w="144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人工费</w:t>
            </w:r>
          </w:p>
        </w:tc>
        <w:tc>
          <w:tcPr>
            <w:tcW w:w="199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27.04</w:t>
            </w:r>
          </w:p>
        </w:tc>
        <w:tc>
          <w:tcPr>
            <w:tcW w:w="234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11.46</w:t>
            </w:r>
          </w:p>
        </w:tc>
      </w:tr>
      <w:tr w:rsidR="009A46AD" w:rsidRPr="00E47939" w:rsidTr="00A553A5">
        <w:trPr>
          <w:trHeight w:val="454"/>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2</w:t>
            </w:r>
          </w:p>
        </w:tc>
        <w:tc>
          <w:tcPr>
            <w:tcW w:w="289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庭园工程</w:t>
            </w:r>
          </w:p>
        </w:tc>
        <w:tc>
          <w:tcPr>
            <w:tcW w:w="144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除</w:t>
            </w:r>
            <w:proofErr w:type="gramStart"/>
            <w:r w:rsidRPr="00E47939">
              <w:rPr>
                <w:rFonts w:ascii="宋体" w:hAnsi="宋体" w:hint="eastAsia"/>
              </w:rPr>
              <w:t>税预算</w:t>
            </w:r>
            <w:proofErr w:type="gramEnd"/>
            <w:r w:rsidRPr="00E47939">
              <w:rPr>
                <w:rFonts w:ascii="宋体" w:hAnsi="宋体" w:hint="eastAsia"/>
              </w:rPr>
              <w:t>价</w:t>
            </w:r>
          </w:p>
        </w:tc>
        <w:tc>
          <w:tcPr>
            <w:tcW w:w="199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8.37</w:t>
            </w:r>
          </w:p>
        </w:tc>
        <w:tc>
          <w:tcPr>
            <w:tcW w:w="234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rPr>
                <w:rFonts w:ascii="宋体" w:hAnsi="宋体"/>
              </w:rPr>
            </w:pPr>
            <w:r w:rsidRPr="00E47939">
              <w:rPr>
                <w:rFonts w:ascii="宋体" w:hAnsi="宋体" w:hint="eastAsia"/>
              </w:rPr>
              <w:t>3.33</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06 构筑物工程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447"/>
        <w:gridCol w:w="3979"/>
        <w:gridCol w:w="3255"/>
      </w:tblGrid>
      <w:tr w:rsidR="009A46AD" w:rsidRPr="00E47939" w:rsidTr="00A553A5">
        <w:trPr>
          <w:trHeight w:val="397"/>
          <w:jc w:val="center"/>
        </w:trPr>
        <w:tc>
          <w:tcPr>
            <w:tcW w:w="19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项目名称</w:t>
            </w:r>
          </w:p>
        </w:tc>
        <w:tc>
          <w:tcPr>
            <w:tcW w:w="7234"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构筑物</w:t>
            </w:r>
          </w:p>
        </w:tc>
      </w:tr>
      <w:tr w:rsidR="009A46AD" w:rsidRPr="00E47939" w:rsidTr="00A553A5">
        <w:trPr>
          <w:trHeight w:val="397"/>
          <w:jc w:val="center"/>
        </w:trPr>
        <w:tc>
          <w:tcPr>
            <w:tcW w:w="3364"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五环路以外</w:t>
            </w:r>
          </w:p>
        </w:tc>
      </w:tr>
      <w:tr w:rsidR="009A46AD" w:rsidRPr="00E47939" w:rsidTr="00A553A5">
        <w:trPr>
          <w:trHeight w:val="397"/>
          <w:jc w:val="center"/>
        </w:trPr>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计费基数</w:t>
            </w:r>
          </w:p>
        </w:tc>
        <w:tc>
          <w:tcPr>
            <w:tcW w:w="7234"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以第一章至第三章的相应部分除</w:t>
            </w:r>
            <w:proofErr w:type="gramStart"/>
            <w:r w:rsidRPr="00E47939">
              <w:rPr>
                <w:rFonts w:hint="eastAsia"/>
              </w:rPr>
              <w:t>税预算</w:t>
            </w:r>
            <w:proofErr w:type="gramEnd"/>
            <w:r w:rsidRPr="00E47939">
              <w:rPr>
                <w:rFonts w:hint="eastAsia"/>
              </w:rPr>
              <w:t>价为基数（不得重复）计算</w:t>
            </w:r>
          </w:p>
        </w:tc>
      </w:tr>
      <w:tr w:rsidR="009A46AD" w:rsidRPr="00E47939" w:rsidTr="00A553A5">
        <w:trPr>
          <w:trHeight w:val="397"/>
          <w:jc w:val="center"/>
        </w:trPr>
        <w:tc>
          <w:tcPr>
            <w:tcW w:w="1917"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费率（</w:t>
            </w:r>
            <w:r w:rsidRPr="00E47939">
              <w:rPr>
                <w:rFonts w:hint="eastAsia"/>
              </w:rPr>
              <w:t>%</w:t>
            </w:r>
            <w:r w:rsidRPr="00E47939">
              <w:rPr>
                <w:rFonts w:hint="eastAsia"/>
              </w:rPr>
              <w:t>）</w:t>
            </w: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4.31</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3.75</w:t>
            </w:r>
          </w:p>
        </w:tc>
      </w:tr>
      <w:tr w:rsidR="009A46AD" w:rsidRPr="00E47939" w:rsidTr="00A553A5">
        <w:trPr>
          <w:trHeight w:val="397"/>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其中</w:t>
            </w:r>
          </w:p>
        </w:tc>
        <w:tc>
          <w:tcPr>
            <w:tcW w:w="144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环境保护</w:t>
            </w: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1.12</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1.06</w:t>
            </w:r>
          </w:p>
        </w:tc>
      </w:tr>
      <w:tr w:rsidR="009A46AD" w:rsidRPr="00E47939" w:rsidTr="00A553A5">
        <w:trPr>
          <w:trHeight w:val="397"/>
          <w:jc w:val="center"/>
        </w:trPr>
        <w:tc>
          <w:tcPr>
            <w:tcW w:w="191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144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文明施工</w:t>
            </w: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0.58</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0.56</w:t>
            </w:r>
          </w:p>
        </w:tc>
      </w:tr>
      <w:tr w:rsidR="009A46AD" w:rsidRPr="00E47939" w:rsidTr="00A553A5">
        <w:trPr>
          <w:trHeight w:val="397"/>
          <w:jc w:val="center"/>
        </w:trPr>
        <w:tc>
          <w:tcPr>
            <w:tcW w:w="191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144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安全施工</w:t>
            </w: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1.13</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1.06</w:t>
            </w:r>
          </w:p>
        </w:tc>
      </w:tr>
      <w:tr w:rsidR="009A46AD" w:rsidRPr="00E47939" w:rsidTr="00A553A5">
        <w:trPr>
          <w:trHeight w:val="397"/>
          <w:jc w:val="center"/>
        </w:trPr>
        <w:tc>
          <w:tcPr>
            <w:tcW w:w="1917"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1447"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临时设施</w:t>
            </w:r>
          </w:p>
        </w:tc>
        <w:tc>
          <w:tcPr>
            <w:tcW w:w="3979"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1.48</w:t>
            </w:r>
          </w:p>
        </w:tc>
        <w:tc>
          <w:tcPr>
            <w:tcW w:w="3255"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1.07</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96"/>
        <w:gridCol w:w="2456"/>
        <w:gridCol w:w="1134"/>
        <w:gridCol w:w="1984"/>
        <w:gridCol w:w="2470"/>
      </w:tblGrid>
      <w:tr w:rsidR="009A46AD" w:rsidRPr="00E47939" w:rsidTr="00A553A5">
        <w:trPr>
          <w:trHeight w:val="51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序号</w:t>
            </w:r>
          </w:p>
        </w:tc>
        <w:tc>
          <w:tcPr>
            <w:tcW w:w="305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计费基数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企业管理费率（</w:t>
            </w:r>
            <w:r w:rsidRPr="00E47939">
              <w:rPr>
                <w:rFonts w:hint="eastAsia"/>
              </w:rPr>
              <w:t>%</w:t>
            </w:r>
            <w:r w:rsidRPr="00E47939">
              <w:rPr>
                <w:rFonts w:hint="eastAsia"/>
              </w:rPr>
              <w:t>）</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其中：现场管理费率（</w:t>
            </w:r>
            <w:r w:rsidRPr="00E47939">
              <w:rPr>
                <w:rFonts w:hint="eastAsia"/>
              </w:rPr>
              <w:t>%</w:t>
            </w:r>
            <w:r w:rsidRPr="00E47939">
              <w:rPr>
                <w:rFonts w:hint="eastAsia"/>
              </w:rPr>
              <w:t>）</w:t>
            </w:r>
          </w:p>
        </w:tc>
      </w:tr>
      <w:tr w:rsidR="009A46AD" w:rsidRPr="00E47939" w:rsidTr="00A553A5">
        <w:trPr>
          <w:trHeight w:val="51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w:t>
            </w:r>
          </w:p>
        </w:tc>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构筑物</w:t>
            </w:r>
          </w:p>
        </w:tc>
        <w:tc>
          <w:tcPr>
            <w:tcW w:w="24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烟囱、水塔、贮仓（库）</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除</w:t>
            </w:r>
            <w:proofErr w:type="gramStart"/>
            <w:r w:rsidRPr="00E47939">
              <w:rPr>
                <w:rFonts w:hint="eastAsia"/>
              </w:rPr>
              <w:t>税预算</w:t>
            </w:r>
            <w:proofErr w:type="gramEnd"/>
            <w:r w:rsidRPr="00E47939">
              <w:rPr>
                <w:rFonts w:hint="eastAsia"/>
              </w:rPr>
              <w:t>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9.80</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4.16</w:t>
            </w:r>
          </w:p>
        </w:tc>
      </w:tr>
      <w:tr w:rsidR="009A46AD" w:rsidRPr="00E47939" w:rsidTr="00A553A5">
        <w:trPr>
          <w:trHeight w:val="51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2</w:t>
            </w: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24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roofErr w:type="gramStart"/>
            <w:r w:rsidRPr="00E47939">
              <w:rPr>
                <w:rFonts w:hint="eastAsia"/>
              </w:rPr>
              <w:t>池类</w:t>
            </w:r>
            <w:proofErr w:type="gram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8.83</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3.58</w:t>
            </w:r>
          </w:p>
        </w:tc>
      </w:tr>
      <w:tr w:rsidR="009A46AD" w:rsidRPr="00E47939" w:rsidTr="00A553A5">
        <w:trPr>
          <w:trHeight w:val="510"/>
          <w:jc w:val="center"/>
        </w:trPr>
        <w:tc>
          <w:tcPr>
            <w:tcW w:w="468"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3</w:t>
            </w: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24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其他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8.37</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3.32</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07 城市轨道交通工程</w:t>
      </w:r>
    </w:p>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土建、轨道工程</w:t>
      </w:r>
    </w:p>
    <w:p w:rsidR="009A46AD" w:rsidRPr="006B1497" w:rsidRDefault="009A46AD" w:rsidP="009A46AD">
      <w:pPr>
        <w:spacing w:line="360" w:lineRule="auto"/>
        <w:rPr>
          <w:rFonts w:ascii="宋体"/>
          <w:spacing w:val="6"/>
          <w:sz w:val="24"/>
        </w:rPr>
      </w:pPr>
      <w:r w:rsidRPr="006B1497">
        <w:rPr>
          <w:rFonts w:ascii="宋体" w:hint="eastAsia"/>
          <w:spacing w:val="6"/>
          <w:sz w:val="24"/>
        </w:rPr>
        <w:lastRenderedPageBreak/>
        <w:t>1.安全文明施工费</w:t>
      </w:r>
    </w:p>
    <w:tbl>
      <w:tblPr>
        <w:tblW w:w="97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0"/>
        <w:gridCol w:w="1056"/>
        <w:gridCol w:w="466"/>
        <w:gridCol w:w="743"/>
        <w:gridCol w:w="39"/>
        <w:gridCol w:w="783"/>
        <w:gridCol w:w="118"/>
        <w:gridCol w:w="236"/>
        <w:gridCol w:w="428"/>
        <w:gridCol w:w="241"/>
        <w:gridCol w:w="542"/>
        <w:gridCol w:w="132"/>
        <w:gridCol w:w="650"/>
        <w:gridCol w:w="31"/>
        <w:gridCol w:w="625"/>
        <w:gridCol w:w="127"/>
        <w:gridCol w:w="498"/>
        <w:gridCol w:w="284"/>
        <w:gridCol w:w="345"/>
        <w:gridCol w:w="438"/>
        <w:gridCol w:w="249"/>
        <w:gridCol w:w="533"/>
        <w:gridCol w:w="479"/>
        <w:gridCol w:w="243"/>
        <w:gridCol w:w="61"/>
      </w:tblGrid>
      <w:tr w:rsidR="009A46AD" w:rsidRPr="00E47939" w:rsidTr="00A553A5">
        <w:trPr>
          <w:trHeight w:val="454"/>
          <w:jc w:val="center"/>
        </w:trPr>
        <w:tc>
          <w:tcPr>
            <w:tcW w:w="1952" w:type="dxa"/>
            <w:gridSpan w:val="3"/>
            <w:tcBorders>
              <w:top w:val="single" w:sz="8" w:space="0" w:color="auto"/>
              <w:left w:val="single" w:sz="8"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项目名称</w:t>
            </w:r>
          </w:p>
        </w:tc>
        <w:tc>
          <w:tcPr>
            <w:tcW w:w="1565" w:type="dxa"/>
            <w:gridSpan w:val="3"/>
            <w:tcBorders>
              <w:top w:val="single" w:sz="8"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地上工程</w:t>
            </w:r>
          </w:p>
        </w:tc>
        <w:tc>
          <w:tcPr>
            <w:tcW w:w="1565" w:type="dxa"/>
            <w:gridSpan w:val="5"/>
            <w:tcBorders>
              <w:top w:val="single" w:sz="8"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地下明挖工程</w:t>
            </w:r>
          </w:p>
        </w:tc>
        <w:tc>
          <w:tcPr>
            <w:tcW w:w="1565" w:type="dxa"/>
            <w:gridSpan w:val="5"/>
            <w:tcBorders>
              <w:top w:val="single" w:sz="8"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地下盖挖、暗挖工程</w:t>
            </w:r>
          </w:p>
        </w:tc>
        <w:tc>
          <w:tcPr>
            <w:tcW w:w="1565" w:type="dxa"/>
            <w:gridSpan w:val="4"/>
            <w:tcBorders>
              <w:top w:val="single" w:sz="8"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盾构工程</w:t>
            </w:r>
          </w:p>
        </w:tc>
        <w:tc>
          <w:tcPr>
            <w:tcW w:w="1565" w:type="dxa"/>
            <w:gridSpan w:val="5"/>
            <w:tcBorders>
              <w:top w:val="single" w:sz="8"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轨道工程</w:t>
            </w:r>
          </w:p>
        </w:tc>
      </w:tr>
      <w:tr w:rsidR="009A46AD" w:rsidRPr="00E47939" w:rsidTr="00A553A5">
        <w:trPr>
          <w:trHeight w:val="454"/>
          <w:jc w:val="center"/>
        </w:trPr>
        <w:tc>
          <w:tcPr>
            <w:tcW w:w="1952" w:type="dxa"/>
            <w:gridSpan w:val="3"/>
            <w:tcBorders>
              <w:top w:val="single" w:sz="4" w:space="0" w:color="auto"/>
              <w:left w:val="single" w:sz="8" w:space="0" w:color="auto"/>
              <w:bottom w:val="single" w:sz="4" w:space="0" w:color="auto"/>
              <w:right w:val="single" w:sz="4" w:space="0" w:color="auto"/>
            </w:tcBorders>
            <w:vAlign w:val="center"/>
            <w:hideMark/>
          </w:tcPr>
          <w:p w:rsidR="009A46AD" w:rsidRPr="00E47939" w:rsidRDefault="009A46AD" w:rsidP="00A553A5">
            <w:pPr>
              <w:jc w:val="cente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78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五环路以外</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五环路以外</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783"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五环路以外</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五环路以外</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五环路以内</w:t>
            </w:r>
          </w:p>
        </w:tc>
        <w:tc>
          <w:tcPr>
            <w:tcW w:w="783" w:type="dxa"/>
            <w:gridSpan w:val="3"/>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五环路以外</w:t>
            </w:r>
          </w:p>
        </w:tc>
      </w:tr>
      <w:tr w:rsidR="009A46AD" w:rsidRPr="00E47939" w:rsidTr="00A553A5">
        <w:trPr>
          <w:trHeight w:val="454"/>
          <w:jc w:val="center"/>
        </w:trPr>
        <w:tc>
          <w:tcPr>
            <w:tcW w:w="1952" w:type="dxa"/>
            <w:gridSpan w:val="3"/>
            <w:tcBorders>
              <w:top w:val="single" w:sz="4" w:space="0" w:color="auto"/>
              <w:left w:val="single" w:sz="8"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计费基数</w:t>
            </w:r>
          </w:p>
        </w:tc>
        <w:tc>
          <w:tcPr>
            <w:tcW w:w="7825" w:type="dxa"/>
            <w:gridSpan w:val="22"/>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除</w:t>
            </w:r>
            <w:proofErr w:type="gramStart"/>
            <w:r w:rsidRPr="00E47939">
              <w:rPr>
                <w:rFonts w:hint="eastAsia"/>
              </w:rPr>
              <w:t>税预算</w:t>
            </w:r>
            <w:proofErr w:type="gramEnd"/>
            <w:r w:rsidRPr="00E47939">
              <w:rPr>
                <w:rFonts w:hint="eastAsia"/>
              </w:rPr>
              <w:t>价</w:t>
            </w:r>
          </w:p>
        </w:tc>
      </w:tr>
      <w:tr w:rsidR="009A46AD" w:rsidRPr="00E47939" w:rsidTr="00A553A5">
        <w:trPr>
          <w:trHeight w:val="454"/>
          <w:jc w:val="center"/>
        </w:trPr>
        <w:tc>
          <w:tcPr>
            <w:tcW w:w="1952" w:type="dxa"/>
            <w:gridSpan w:val="3"/>
            <w:tcBorders>
              <w:top w:val="single" w:sz="4" w:space="0" w:color="auto"/>
              <w:left w:val="single" w:sz="8"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费率（</w:t>
            </w:r>
            <w:r w:rsidRPr="00E47939">
              <w:rPr>
                <w:rFonts w:hint="eastAsia"/>
              </w:rPr>
              <w:t>%</w:t>
            </w:r>
            <w:r w:rsidRPr="00E47939">
              <w:rPr>
                <w:rFonts w:hint="eastAsia"/>
              </w:rPr>
              <w:t>）</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6.29</w:t>
            </w:r>
          </w:p>
        </w:tc>
        <w:tc>
          <w:tcPr>
            <w:tcW w:w="78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5.94</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6.47</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6.01</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6.12</w:t>
            </w:r>
          </w:p>
        </w:tc>
        <w:tc>
          <w:tcPr>
            <w:tcW w:w="783"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5.81</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6.09</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5.58</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5.00</w:t>
            </w:r>
          </w:p>
        </w:tc>
        <w:tc>
          <w:tcPr>
            <w:tcW w:w="783" w:type="dxa"/>
            <w:gridSpan w:val="3"/>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4.84</w:t>
            </w:r>
          </w:p>
        </w:tc>
      </w:tr>
      <w:tr w:rsidR="009A46AD" w:rsidRPr="00E47939" w:rsidTr="00A553A5">
        <w:trPr>
          <w:trHeight w:val="454"/>
          <w:jc w:val="center"/>
        </w:trPr>
        <w:tc>
          <w:tcPr>
            <w:tcW w:w="430" w:type="dxa"/>
            <w:vMerge w:val="restart"/>
            <w:tcBorders>
              <w:top w:val="single" w:sz="4" w:space="0" w:color="auto"/>
              <w:left w:val="single" w:sz="8" w:space="0" w:color="auto"/>
              <w:bottom w:val="single" w:sz="8" w:space="0" w:color="auto"/>
              <w:right w:val="single" w:sz="4" w:space="0" w:color="auto"/>
            </w:tcBorders>
            <w:vAlign w:val="center"/>
            <w:hideMark/>
          </w:tcPr>
          <w:p w:rsidR="009A46AD" w:rsidRPr="00E47939" w:rsidRDefault="009A46AD" w:rsidP="00A553A5">
            <w:pPr>
              <w:jc w:val="center"/>
            </w:pPr>
            <w:r w:rsidRPr="00E47939">
              <w:rPr>
                <w:rFonts w:hint="eastAsia"/>
              </w:rPr>
              <w:t>其中</w:t>
            </w:r>
          </w:p>
        </w:tc>
        <w:tc>
          <w:tcPr>
            <w:tcW w:w="10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环境保护</w:t>
            </w:r>
          </w:p>
        </w:tc>
        <w:tc>
          <w:tcPr>
            <w:tcW w:w="46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1.46</w:t>
            </w:r>
          </w:p>
        </w:tc>
        <w:tc>
          <w:tcPr>
            <w:tcW w:w="78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1.39</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1.35</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1.31</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1.25</w:t>
            </w:r>
          </w:p>
        </w:tc>
        <w:tc>
          <w:tcPr>
            <w:tcW w:w="783"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1.14</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1.32</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1.18</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1.26</w:t>
            </w:r>
          </w:p>
        </w:tc>
        <w:tc>
          <w:tcPr>
            <w:tcW w:w="783" w:type="dxa"/>
            <w:gridSpan w:val="3"/>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1.25</w:t>
            </w:r>
          </w:p>
        </w:tc>
      </w:tr>
      <w:tr w:rsidR="009A46AD" w:rsidRPr="00E47939" w:rsidTr="00A553A5">
        <w:trPr>
          <w:trHeight w:val="454"/>
          <w:jc w:val="center"/>
        </w:trPr>
        <w:tc>
          <w:tcPr>
            <w:tcW w:w="430" w:type="dxa"/>
            <w:vMerge/>
            <w:tcBorders>
              <w:top w:val="single" w:sz="4" w:space="0" w:color="auto"/>
              <w:left w:val="single" w:sz="8" w:space="0" w:color="auto"/>
              <w:bottom w:val="single" w:sz="8" w:space="0" w:color="auto"/>
              <w:right w:val="single" w:sz="4" w:space="0" w:color="auto"/>
            </w:tcBorders>
            <w:vAlign w:val="center"/>
            <w:hideMark/>
          </w:tcPr>
          <w:p w:rsidR="009A46AD" w:rsidRPr="00E47939" w:rsidRDefault="009A46AD" w:rsidP="00A553A5">
            <w:pPr>
              <w:jc w:val="center"/>
            </w:pPr>
          </w:p>
        </w:tc>
        <w:tc>
          <w:tcPr>
            <w:tcW w:w="10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文明施工</w:t>
            </w:r>
          </w:p>
        </w:tc>
        <w:tc>
          <w:tcPr>
            <w:tcW w:w="46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1.02</w:t>
            </w:r>
          </w:p>
        </w:tc>
        <w:tc>
          <w:tcPr>
            <w:tcW w:w="78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0.92</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1.16</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0.99</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0.98</w:t>
            </w:r>
          </w:p>
        </w:tc>
        <w:tc>
          <w:tcPr>
            <w:tcW w:w="783"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0.95</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1.04</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0.90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0.59</w:t>
            </w:r>
          </w:p>
        </w:tc>
        <w:tc>
          <w:tcPr>
            <w:tcW w:w="783" w:type="dxa"/>
            <w:gridSpan w:val="3"/>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0.58</w:t>
            </w:r>
          </w:p>
        </w:tc>
      </w:tr>
      <w:tr w:rsidR="009A46AD" w:rsidRPr="00E47939" w:rsidTr="00A553A5">
        <w:trPr>
          <w:trHeight w:val="454"/>
          <w:jc w:val="center"/>
        </w:trPr>
        <w:tc>
          <w:tcPr>
            <w:tcW w:w="430" w:type="dxa"/>
            <w:vMerge/>
            <w:tcBorders>
              <w:top w:val="single" w:sz="4" w:space="0" w:color="auto"/>
              <w:left w:val="single" w:sz="8" w:space="0" w:color="auto"/>
              <w:bottom w:val="single" w:sz="8" w:space="0" w:color="auto"/>
              <w:right w:val="single" w:sz="4" w:space="0" w:color="auto"/>
            </w:tcBorders>
            <w:vAlign w:val="center"/>
            <w:hideMark/>
          </w:tcPr>
          <w:p w:rsidR="009A46AD" w:rsidRPr="00E47939" w:rsidRDefault="009A46AD" w:rsidP="00A553A5">
            <w:pPr>
              <w:jc w:val="center"/>
            </w:pPr>
          </w:p>
        </w:tc>
        <w:tc>
          <w:tcPr>
            <w:tcW w:w="105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安全施工</w:t>
            </w:r>
          </w:p>
        </w:tc>
        <w:tc>
          <w:tcPr>
            <w:tcW w:w="466"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1.54</w:t>
            </w:r>
          </w:p>
        </w:tc>
        <w:tc>
          <w:tcPr>
            <w:tcW w:w="783" w:type="dxa"/>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1.52</w:t>
            </w:r>
          </w:p>
        </w:tc>
        <w:tc>
          <w:tcPr>
            <w:tcW w:w="782"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1.64</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1.60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1.71</w:t>
            </w:r>
          </w:p>
        </w:tc>
        <w:tc>
          <w:tcPr>
            <w:tcW w:w="783" w:type="dxa"/>
            <w:gridSpan w:val="3"/>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1.65</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1.59</w:t>
            </w:r>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1.50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A46AD" w:rsidRPr="00E47939" w:rsidRDefault="009A46AD" w:rsidP="00A553A5">
            <w:pPr>
              <w:jc w:val="center"/>
            </w:pPr>
            <w:r w:rsidRPr="00E47939">
              <w:rPr>
                <w:rFonts w:hint="eastAsia"/>
              </w:rPr>
              <w:t>1.56</w:t>
            </w:r>
          </w:p>
        </w:tc>
        <w:tc>
          <w:tcPr>
            <w:tcW w:w="783" w:type="dxa"/>
            <w:gridSpan w:val="3"/>
            <w:tcBorders>
              <w:top w:val="single" w:sz="4" w:space="0" w:color="auto"/>
              <w:left w:val="single" w:sz="4" w:space="0" w:color="auto"/>
              <w:bottom w:val="single" w:sz="4" w:space="0" w:color="auto"/>
              <w:right w:val="single" w:sz="8" w:space="0" w:color="auto"/>
            </w:tcBorders>
            <w:vAlign w:val="center"/>
            <w:hideMark/>
          </w:tcPr>
          <w:p w:rsidR="009A46AD" w:rsidRPr="00E47939" w:rsidRDefault="009A46AD" w:rsidP="00A553A5">
            <w:pPr>
              <w:jc w:val="center"/>
            </w:pPr>
            <w:r w:rsidRPr="00E47939">
              <w:rPr>
                <w:rFonts w:hint="eastAsia"/>
              </w:rPr>
              <w:t>1.53</w:t>
            </w:r>
          </w:p>
        </w:tc>
      </w:tr>
      <w:tr w:rsidR="009A46AD" w:rsidRPr="00E47939" w:rsidTr="00A553A5">
        <w:trPr>
          <w:trHeight w:val="454"/>
          <w:jc w:val="center"/>
        </w:trPr>
        <w:tc>
          <w:tcPr>
            <w:tcW w:w="430" w:type="dxa"/>
            <w:vMerge/>
            <w:tcBorders>
              <w:top w:val="single" w:sz="4" w:space="0" w:color="auto"/>
              <w:left w:val="single" w:sz="8" w:space="0" w:color="auto"/>
              <w:bottom w:val="single" w:sz="8" w:space="0" w:color="auto"/>
              <w:right w:val="single" w:sz="4" w:space="0" w:color="auto"/>
            </w:tcBorders>
            <w:vAlign w:val="center"/>
            <w:hideMark/>
          </w:tcPr>
          <w:p w:rsidR="009A46AD" w:rsidRPr="00E47939" w:rsidRDefault="009A46AD" w:rsidP="00A553A5">
            <w:pPr>
              <w:jc w:val="center"/>
            </w:pPr>
          </w:p>
        </w:tc>
        <w:tc>
          <w:tcPr>
            <w:tcW w:w="1056" w:type="dxa"/>
            <w:tcBorders>
              <w:top w:val="single" w:sz="4" w:space="0" w:color="auto"/>
              <w:left w:val="single" w:sz="4" w:space="0" w:color="auto"/>
              <w:bottom w:val="single" w:sz="8" w:space="0" w:color="auto"/>
              <w:right w:val="single" w:sz="4" w:space="0" w:color="auto"/>
            </w:tcBorders>
            <w:vAlign w:val="center"/>
            <w:hideMark/>
          </w:tcPr>
          <w:p w:rsidR="009A46AD" w:rsidRPr="00E47939" w:rsidRDefault="009A46AD" w:rsidP="00A553A5">
            <w:pPr>
              <w:jc w:val="center"/>
            </w:pPr>
            <w:r w:rsidRPr="00E47939">
              <w:rPr>
                <w:rFonts w:hint="eastAsia"/>
              </w:rPr>
              <w:t>临时设施</w:t>
            </w:r>
          </w:p>
        </w:tc>
        <w:tc>
          <w:tcPr>
            <w:tcW w:w="466" w:type="dxa"/>
            <w:tcBorders>
              <w:top w:val="single" w:sz="4" w:space="0" w:color="auto"/>
              <w:left w:val="single" w:sz="4" w:space="0" w:color="auto"/>
              <w:bottom w:val="single" w:sz="8" w:space="0" w:color="auto"/>
              <w:right w:val="single" w:sz="4" w:space="0" w:color="auto"/>
            </w:tcBorders>
            <w:vAlign w:val="center"/>
            <w:hideMark/>
          </w:tcPr>
          <w:p w:rsidR="009A46AD" w:rsidRPr="00E47939" w:rsidRDefault="009A46AD" w:rsidP="00A553A5">
            <w:pPr>
              <w:jc w:val="center"/>
            </w:pPr>
            <w:r w:rsidRPr="00E47939">
              <w:rPr>
                <w:rFonts w:hint="eastAsia"/>
              </w:rPr>
              <w:t>%</w:t>
            </w:r>
          </w:p>
        </w:tc>
        <w:tc>
          <w:tcPr>
            <w:tcW w:w="782"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2.27</w:t>
            </w:r>
          </w:p>
        </w:tc>
        <w:tc>
          <w:tcPr>
            <w:tcW w:w="783" w:type="dxa"/>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2.11</w:t>
            </w:r>
          </w:p>
        </w:tc>
        <w:tc>
          <w:tcPr>
            <w:tcW w:w="782" w:type="dxa"/>
            <w:gridSpan w:val="3"/>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2.32</w:t>
            </w:r>
          </w:p>
        </w:tc>
        <w:tc>
          <w:tcPr>
            <w:tcW w:w="783"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2.11</w:t>
            </w:r>
          </w:p>
        </w:tc>
        <w:tc>
          <w:tcPr>
            <w:tcW w:w="782"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2.18</w:t>
            </w:r>
          </w:p>
        </w:tc>
        <w:tc>
          <w:tcPr>
            <w:tcW w:w="783" w:type="dxa"/>
            <w:gridSpan w:val="3"/>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2.07</w:t>
            </w:r>
          </w:p>
        </w:tc>
        <w:tc>
          <w:tcPr>
            <w:tcW w:w="782"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2.14</w:t>
            </w:r>
          </w:p>
        </w:tc>
        <w:tc>
          <w:tcPr>
            <w:tcW w:w="783"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2.00</w:t>
            </w:r>
          </w:p>
        </w:tc>
        <w:tc>
          <w:tcPr>
            <w:tcW w:w="782" w:type="dxa"/>
            <w:gridSpan w:val="2"/>
            <w:tcBorders>
              <w:top w:val="single" w:sz="4" w:space="0" w:color="auto"/>
              <w:left w:val="single" w:sz="4" w:space="0" w:color="auto"/>
              <w:bottom w:val="single" w:sz="8" w:space="0" w:color="auto"/>
              <w:right w:val="single" w:sz="4" w:space="0" w:color="auto"/>
            </w:tcBorders>
            <w:shd w:val="clear" w:color="auto" w:fill="FFFFFF"/>
            <w:vAlign w:val="center"/>
            <w:hideMark/>
          </w:tcPr>
          <w:p w:rsidR="009A46AD" w:rsidRPr="00E47939" w:rsidRDefault="009A46AD" w:rsidP="00A553A5">
            <w:pPr>
              <w:jc w:val="center"/>
            </w:pPr>
            <w:r w:rsidRPr="00E47939">
              <w:rPr>
                <w:rFonts w:hint="eastAsia"/>
              </w:rPr>
              <w:t>1.59</w:t>
            </w:r>
          </w:p>
        </w:tc>
        <w:tc>
          <w:tcPr>
            <w:tcW w:w="783" w:type="dxa"/>
            <w:gridSpan w:val="3"/>
            <w:tcBorders>
              <w:top w:val="single" w:sz="4" w:space="0" w:color="auto"/>
              <w:left w:val="single" w:sz="4" w:space="0" w:color="auto"/>
              <w:bottom w:val="single" w:sz="8" w:space="0" w:color="auto"/>
              <w:right w:val="single" w:sz="8" w:space="0" w:color="auto"/>
            </w:tcBorders>
            <w:shd w:val="clear" w:color="auto" w:fill="FFFFFF"/>
            <w:vAlign w:val="center"/>
            <w:hideMark/>
          </w:tcPr>
          <w:p w:rsidR="009A46AD" w:rsidRPr="00E47939" w:rsidRDefault="009A46AD" w:rsidP="00A553A5">
            <w:pPr>
              <w:jc w:val="center"/>
            </w:pPr>
            <w:r w:rsidRPr="00E47939">
              <w:rPr>
                <w:rFonts w:hint="eastAsia"/>
              </w:rPr>
              <w:t>1.47</w:t>
            </w:r>
          </w:p>
        </w:tc>
      </w:tr>
      <w:tr w:rsidR="009A46AD" w:rsidRPr="00E47939" w:rsidTr="00A553A5">
        <w:trPr>
          <w:gridAfter w:val="1"/>
          <w:wAfter w:w="61" w:type="dxa"/>
          <w:trHeight w:val="454"/>
          <w:jc w:val="center"/>
        </w:trPr>
        <w:tc>
          <w:tcPr>
            <w:tcW w:w="430" w:type="dxa"/>
            <w:tcBorders>
              <w:top w:val="nil"/>
              <w:left w:val="nil"/>
              <w:bottom w:val="nil"/>
              <w:right w:val="nil"/>
            </w:tcBorders>
            <w:vAlign w:val="center"/>
            <w:hideMark/>
          </w:tcPr>
          <w:p w:rsidR="009A46AD" w:rsidRPr="00E47939" w:rsidRDefault="009A46AD" w:rsidP="00A553A5">
            <w:pPr>
              <w:jc w:val="center"/>
            </w:pPr>
          </w:p>
        </w:tc>
        <w:tc>
          <w:tcPr>
            <w:tcW w:w="1056" w:type="dxa"/>
            <w:tcBorders>
              <w:top w:val="nil"/>
              <w:left w:val="nil"/>
              <w:bottom w:val="nil"/>
              <w:right w:val="nil"/>
            </w:tcBorders>
            <w:vAlign w:val="center"/>
            <w:hideMark/>
          </w:tcPr>
          <w:p w:rsidR="009A46AD" w:rsidRPr="00E47939" w:rsidRDefault="009A46AD" w:rsidP="00A553A5">
            <w:pPr>
              <w:jc w:val="center"/>
            </w:pPr>
          </w:p>
        </w:tc>
        <w:tc>
          <w:tcPr>
            <w:tcW w:w="466" w:type="dxa"/>
            <w:tcBorders>
              <w:top w:val="nil"/>
              <w:left w:val="nil"/>
              <w:bottom w:val="nil"/>
              <w:right w:val="nil"/>
            </w:tcBorders>
            <w:vAlign w:val="center"/>
            <w:hideMark/>
          </w:tcPr>
          <w:p w:rsidR="009A46AD" w:rsidRPr="00E47939" w:rsidRDefault="009A46AD" w:rsidP="00A553A5">
            <w:pPr>
              <w:jc w:val="center"/>
            </w:pPr>
          </w:p>
        </w:tc>
        <w:tc>
          <w:tcPr>
            <w:tcW w:w="743" w:type="dxa"/>
            <w:tcBorders>
              <w:top w:val="nil"/>
              <w:left w:val="nil"/>
              <w:bottom w:val="nil"/>
              <w:right w:val="nil"/>
            </w:tcBorders>
            <w:vAlign w:val="center"/>
            <w:hideMark/>
          </w:tcPr>
          <w:p w:rsidR="009A46AD" w:rsidRPr="00E47939" w:rsidRDefault="009A46AD" w:rsidP="00A553A5">
            <w:pPr>
              <w:jc w:val="center"/>
            </w:pPr>
          </w:p>
        </w:tc>
        <w:tc>
          <w:tcPr>
            <w:tcW w:w="940" w:type="dxa"/>
            <w:gridSpan w:val="3"/>
            <w:tcBorders>
              <w:top w:val="nil"/>
              <w:left w:val="nil"/>
              <w:bottom w:val="nil"/>
              <w:right w:val="nil"/>
            </w:tcBorders>
            <w:vAlign w:val="center"/>
            <w:hideMark/>
          </w:tcPr>
          <w:p w:rsidR="009A46AD" w:rsidRPr="00E47939" w:rsidRDefault="009A46AD" w:rsidP="00A553A5">
            <w:pPr>
              <w:jc w:val="center"/>
            </w:pPr>
          </w:p>
        </w:tc>
        <w:tc>
          <w:tcPr>
            <w:tcW w:w="236" w:type="dxa"/>
            <w:tcBorders>
              <w:top w:val="nil"/>
              <w:left w:val="nil"/>
              <w:bottom w:val="nil"/>
              <w:right w:val="nil"/>
            </w:tcBorders>
            <w:vAlign w:val="center"/>
            <w:hideMark/>
          </w:tcPr>
          <w:p w:rsidR="009A46AD" w:rsidRPr="00E47939" w:rsidRDefault="009A46AD" w:rsidP="00A553A5">
            <w:pPr>
              <w:jc w:val="center"/>
            </w:pPr>
          </w:p>
        </w:tc>
        <w:tc>
          <w:tcPr>
            <w:tcW w:w="669" w:type="dxa"/>
            <w:gridSpan w:val="2"/>
            <w:tcBorders>
              <w:top w:val="nil"/>
              <w:left w:val="nil"/>
              <w:bottom w:val="nil"/>
              <w:right w:val="nil"/>
            </w:tcBorders>
            <w:vAlign w:val="center"/>
            <w:hideMark/>
          </w:tcPr>
          <w:p w:rsidR="009A46AD" w:rsidRPr="00E47939" w:rsidRDefault="009A46AD" w:rsidP="00A553A5">
            <w:pPr>
              <w:jc w:val="center"/>
            </w:pPr>
          </w:p>
        </w:tc>
        <w:tc>
          <w:tcPr>
            <w:tcW w:w="674" w:type="dxa"/>
            <w:gridSpan w:val="2"/>
            <w:tcBorders>
              <w:top w:val="nil"/>
              <w:left w:val="nil"/>
              <w:bottom w:val="nil"/>
              <w:right w:val="nil"/>
            </w:tcBorders>
            <w:vAlign w:val="center"/>
            <w:hideMark/>
          </w:tcPr>
          <w:p w:rsidR="009A46AD" w:rsidRPr="00E47939" w:rsidRDefault="009A46AD" w:rsidP="00A553A5">
            <w:pPr>
              <w:jc w:val="center"/>
            </w:pPr>
          </w:p>
        </w:tc>
        <w:tc>
          <w:tcPr>
            <w:tcW w:w="681" w:type="dxa"/>
            <w:gridSpan w:val="2"/>
            <w:tcBorders>
              <w:top w:val="nil"/>
              <w:left w:val="nil"/>
              <w:bottom w:val="nil"/>
              <w:right w:val="nil"/>
            </w:tcBorders>
            <w:vAlign w:val="center"/>
            <w:hideMark/>
          </w:tcPr>
          <w:p w:rsidR="009A46AD" w:rsidRPr="00E47939" w:rsidRDefault="009A46AD" w:rsidP="00A553A5">
            <w:pPr>
              <w:jc w:val="center"/>
            </w:pPr>
          </w:p>
        </w:tc>
        <w:tc>
          <w:tcPr>
            <w:tcW w:w="625" w:type="dxa"/>
            <w:tcBorders>
              <w:top w:val="nil"/>
              <w:left w:val="nil"/>
              <w:bottom w:val="nil"/>
              <w:right w:val="nil"/>
            </w:tcBorders>
            <w:vAlign w:val="center"/>
            <w:hideMark/>
          </w:tcPr>
          <w:p w:rsidR="009A46AD" w:rsidRPr="00E47939" w:rsidRDefault="009A46AD" w:rsidP="00A553A5">
            <w:pPr>
              <w:jc w:val="center"/>
            </w:pPr>
          </w:p>
        </w:tc>
        <w:tc>
          <w:tcPr>
            <w:tcW w:w="625" w:type="dxa"/>
            <w:gridSpan w:val="2"/>
            <w:tcBorders>
              <w:top w:val="nil"/>
              <w:left w:val="nil"/>
              <w:bottom w:val="nil"/>
              <w:right w:val="nil"/>
            </w:tcBorders>
            <w:vAlign w:val="center"/>
            <w:hideMark/>
          </w:tcPr>
          <w:p w:rsidR="009A46AD" w:rsidRPr="00E47939" w:rsidRDefault="009A46AD" w:rsidP="00A553A5">
            <w:pPr>
              <w:jc w:val="center"/>
            </w:pPr>
          </w:p>
        </w:tc>
        <w:tc>
          <w:tcPr>
            <w:tcW w:w="629" w:type="dxa"/>
            <w:gridSpan w:val="2"/>
            <w:tcBorders>
              <w:top w:val="nil"/>
              <w:left w:val="nil"/>
              <w:bottom w:val="nil"/>
              <w:right w:val="nil"/>
            </w:tcBorders>
            <w:vAlign w:val="center"/>
            <w:hideMark/>
          </w:tcPr>
          <w:p w:rsidR="009A46AD" w:rsidRPr="00E47939" w:rsidRDefault="009A46AD" w:rsidP="00A553A5">
            <w:pPr>
              <w:jc w:val="center"/>
            </w:pPr>
          </w:p>
        </w:tc>
        <w:tc>
          <w:tcPr>
            <w:tcW w:w="687" w:type="dxa"/>
            <w:gridSpan w:val="2"/>
            <w:tcBorders>
              <w:top w:val="nil"/>
              <w:left w:val="nil"/>
              <w:bottom w:val="nil"/>
              <w:right w:val="nil"/>
            </w:tcBorders>
            <w:vAlign w:val="center"/>
            <w:hideMark/>
          </w:tcPr>
          <w:p w:rsidR="009A46AD" w:rsidRPr="00E47939" w:rsidRDefault="009A46AD" w:rsidP="00A553A5">
            <w:pPr>
              <w:jc w:val="center"/>
            </w:pPr>
          </w:p>
        </w:tc>
        <w:tc>
          <w:tcPr>
            <w:tcW w:w="1012" w:type="dxa"/>
            <w:gridSpan w:val="2"/>
            <w:tcBorders>
              <w:top w:val="nil"/>
              <w:left w:val="nil"/>
              <w:bottom w:val="nil"/>
              <w:right w:val="nil"/>
            </w:tcBorders>
            <w:vAlign w:val="center"/>
            <w:hideMark/>
          </w:tcPr>
          <w:p w:rsidR="009A46AD" w:rsidRPr="00E47939" w:rsidRDefault="009A46AD" w:rsidP="00A553A5">
            <w:pPr>
              <w:jc w:val="center"/>
            </w:pPr>
          </w:p>
        </w:tc>
        <w:tc>
          <w:tcPr>
            <w:tcW w:w="243" w:type="dxa"/>
            <w:tcBorders>
              <w:top w:val="nil"/>
              <w:left w:val="nil"/>
              <w:bottom w:val="nil"/>
              <w:right w:val="nil"/>
            </w:tcBorders>
            <w:vAlign w:val="center"/>
            <w:hideMark/>
          </w:tcPr>
          <w:p w:rsidR="009A46AD" w:rsidRPr="00E47939" w:rsidRDefault="009A46AD" w:rsidP="00A553A5">
            <w:pPr>
              <w:jc w:val="center"/>
            </w:pP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720"/>
        <w:gridCol w:w="1980"/>
        <w:gridCol w:w="1401"/>
        <w:gridCol w:w="2127"/>
        <w:gridCol w:w="2290"/>
      </w:tblGrid>
      <w:tr w:rsidR="009A46AD" w:rsidRPr="00DE2BCD" w:rsidTr="00A553A5">
        <w:trPr>
          <w:trHeight w:val="397"/>
          <w:jc w:val="center"/>
        </w:trPr>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序号</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计费基数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企业管理费率（</w:t>
            </w:r>
            <w:r w:rsidRPr="00DE2BCD">
              <w:rPr>
                <w:rFonts w:hint="eastAsia"/>
              </w:rPr>
              <w:t>%</w:t>
            </w:r>
            <w:r w:rsidRPr="00DE2BCD">
              <w:rPr>
                <w:rFonts w:hint="eastAsia"/>
              </w:rPr>
              <w:t>）</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其中</w:t>
            </w:r>
          </w:p>
        </w:tc>
      </w:tr>
      <w:tr w:rsidR="009A46AD" w:rsidRPr="00DE2BCD" w:rsidTr="00A553A5">
        <w:trPr>
          <w:trHeight w:val="397"/>
          <w:jc w:val="center"/>
        </w:trPr>
        <w:tc>
          <w:tcPr>
            <w:tcW w:w="1082"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700"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现场管理费率（</w:t>
            </w:r>
            <w:r w:rsidRPr="00DE2BCD">
              <w:rPr>
                <w:rFonts w:hint="eastAsia"/>
              </w:rPr>
              <w:t>%</w:t>
            </w:r>
            <w:r w:rsidRPr="00DE2BCD">
              <w:rPr>
                <w:rFonts w:hint="eastAsia"/>
              </w:rPr>
              <w:t>）</w:t>
            </w:r>
          </w:p>
        </w:tc>
      </w:tr>
      <w:tr w:rsidR="009A46AD" w:rsidRPr="00DE2BCD" w:rsidTr="00A553A5">
        <w:trPr>
          <w:trHeight w:val="39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地下工程</w:t>
            </w:r>
          </w:p>
        </w:tc>
        <w:tc>
          <w:tcPr>
            <w:tcW w:w="198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明挖</w:t>
            </w:r>
          </w:p>
        </w:tc>
        <w:tc>
          <w:tcPr>
            <w:tcW w:w="140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除</w:t>
            </w:r>
            <w:proofErr w:type="gramStart"/>
            <w:r w:rsidRPr="00DE2BCD">
              <w:rPr>
                <w:rFonts w:hint="eastAsia"/>
              </w:rPr>
              <w:t>税预算</w:t>
            </w:r>
            <w:proofErr w:type="gramEnd"/>
            <w:r w:rsidRPr="00DE2BCD">
              <w:rPr>
                <w:rFonts w:hint="eastAsia"/>
              </w:rPr>
              <w:t>价</w:t>
            </w:r>
          </w:p>
        </w:tc>
        <w:tc>
          <w:tcPr>
            <w:tcW w:w="212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8.56</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3.40</w:t>
            </w:r>
          </w:p>
        </w:tc>
      </w:tr>
      <w:tr w:rsidR="009A46AD" w:rsidRPr="00DE2BCD" w:rsidTr="00A553A5">
        <w:trPr>
          <w:trHeight w:val="39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盖挖、暗挖</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9.02</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3.55</w:t>
            </w:r>
          </w:p>
        </w:tc>
      </w:tr>
      <w:tr w:rsidR="009A46AD" w:rsidRPr="00DE2BCD" w:rsidTr="00A553A5">
        <w:trPr>
          <w:trHeight w:val="39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盾构</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8.08</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3.05</w:t>
            </w:r>
          </w:p>
        </w:tc>
      </w:tr>
      <w:tr w:rsidR="009A46AD" w:rsidRPr="00DE2BCD" w:rsidTr="00A553A5">
        <w:trPr>
          <w:trHeight w:val="39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4</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地上工程</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9.06</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3.55</w:t>
            </w:r>
          </w:p>
        </w:tc>
      </w:tr>
      <w:tr w:rsidR="009A46AD" w:rsidRPr="00DE2BCD" w:rsidTr="00A553A5">
        <w:trPr>
          <w:trHeight w:val="397"/>
          <w:jc w:val="center"/>
        </w:trPr>
        <w:tc>
          <w:tcPr>
            <w:tcW w:w="108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w:t>
            </w:r>
          </w:p>
        </w:tc>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轨道工程</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5.51</w:t>
            </w:r>
          </w:p>
        </w:tc>
        <w:tc>
          <w:tcPr>
            <w:tcW w:w="229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2.15</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供电、通信信号、智能机电工程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819"/>
        <w:gridCol w:w="604"/>
        <w:gridCol w:w="2107"/>
        <w:gridCol w:w="1708"/>
        <w:gridCol w:w="2707"/>
      </w:tblGrid>
      <w:tr w:rsidR="009A46AD" w:rsidRPr="00DE2BCD" w:rsidTr="00A553A5">
        <w:trPr>
          <w:trHeight w:val="454"/>
          <w:jc w:val="center"/>
        </w:trPr>
        <w:tc>
          <w:tcPr>
            <w:tcW w:w="3037" w:type="dxa"/>
            <w:gridSpan w:val="3"/>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项目名称</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通信、信号工程</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供电工程</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智能与控制系统、机电工程</w:t>
            </w:r>
          </w:p>
        </w:tc>
      </w:tr>
      <w:tr w:rsidR="009A46AD" w:rsidRPr="00DE2BCD" w:rsidTr="00A553A5">
        <w:trPr>
          <w:trHeight w:val="454"/>
          <w:jc w:val="center"/>
        </w:trPr>
        <w:tc>
          <w:tcPr>
            <w:tcW w:w="3037" w:type="dxa"/>
            <w:gridSpan w:val="3"/>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计费基数</w:t>
            </w:r>
          </w:p>
        </w:tc>
        <w:tc>
          <w:tcPr>
            <w:tcW w:w="6522" w:type="dxa"/>
            <w:gridSpan w:val="3"/>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人工费</w:t>
            </w:r>
          </w:p>
        </w:tc>
      </w:tr>
      <w:tr w:rsidR="009A46AD" w:rsidRPr="00DE2BCD" w:rsidTr="00A553A5">
        <w:trPr>
          <w:trHeight w:val="454"/>
          <w:jc w:val="center"/>
        </w:trPr>
        <w:tc>
          <w:tcPr>
            <w:tcW w:w="3037" w:type="dxa"/>
            <w:gridSpan w:val="3"/>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费率（%）</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22.61</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22.96</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22.74</w:t>
            </w:r>
          </w:p>
        </w:tc>
      </w:tr>
      <w:tr w:rsidR="009A46AD" w:rsidRPr="00DE2BCD" w:rsidTr="00A553A5">
        <w:trPr>
          <w:trHeight w:val="454"/>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其中</w:t>
            </w:r>
          </w:p>
        </w:tc>
        <w:tc>
          <w:tcPr>
            <w:tcW w:w="1819"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环境保护</w:t>
            </w:r>
          </w:p>
        </w:tc>
        <w:tc>
          <w:tcPr>
            <w:tcW w:w="6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3.11</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3.02</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3.18</w:t>
            </w:r>
          </w:p>
        </w:tc>
      </w:tr>
      <w:tr w:rsidR="009A46AD" w:rsidRPr="00DE2BCD" w:rsidTr="00A553A5">
        <w:trPr>
          <w:trHeight w:val="454"/>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文明施工</w:t>
            </w:r>
          </w:p>
        </w:tc>
        <w:tc>
          <w:tcPr>
            <w:tcW w:w="6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7.23</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7.02</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6.97</w:t>
            </w:r>
          </w:p>
        </w:tc>
      </w:tr>
      <w:tr w:rsidR="009A46AD" w:rsidRPr="00DE2BCD" w:rsidTr="00A553A5">
        <w:trPr>
          <w:trHeight w:val="454"/>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安全施工</w:t>
            </w:r>
          </w:p>
        </w:tc>
        <w:tc>
          <w:tcPr>
            <w:tcW w:w="6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7.51</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7.30</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7.78</w:t>
            </w:r>
          </w:p>
        </w:tc>
      </w:tr>
      <w:tr w:rsidR="009A46AD" w:rsidRPr="00DE2BCD" w:rsidTr="00A553A5">
        <w:trPr>
          <w:trHeight w:val="454"/>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p>
        </w:tc>
        <w:tc>
          <w:tcPr>
            <w:tcW w:w="1819"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临时设施</w:t>
            </w:r>
          </w:p>
        </w:tc>
        <w:tc>
          <w:tcPr>
            <w:tcW w:w="6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w:t>
            </w:r>
          </w:p>
        </w:tc>
        <w:tc>
          <w:tcPr>
            <w:tcW w:w="21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4.76</w:t>
            </w:r>
          </w:p>
        </w:tc>
        <w:tc>
          <w:tcPr>
            <w:tcW w:w="170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4.62</w:t>
            </w:r>
          </w:p>
        </w:tc>
        <w:tc>
          <w:tcPr>
            <w:tcW w:w="270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rPr>
            </w:pPr>
            <w:r w:rsidRPr="00DE2BCD">
              <w:rPr>
                <w:rFonts w:ascii="宋体" w:hAnsi="宋体" w:hint="eastAsia"/>
              </w:rPr>
              <w:t>4.81</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65"/>
        <w:gridCol w:w="1821"/>
        <w:gridCol w:w="1096"/>
        <w:gridCol w:w="1714"/>
        <w:gridCol w:w="2453"/>
      </w:tblGrid>
      <w:tr w:rsidR="009A46AD" w:rsidRPr="00DE2BCD" w:rsidTr="00A553A5">
        <w:trPr>
          <w:trHeight w:val="312"/>
          <w:jc w:val="center"/>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lastRenderedPageBreak/>
              <w:t>序号</w:t>
            </w: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计费基数</w:t>
            </w:r>
          </w:p>
        </w:tc>
        <w:tc>
          <w:tcPr>
            <w:tcW w:w="171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企业管理费率（</w:t>
            </w:r>
            <w:r w:rsidRPr="00DE2BCD">
              <w:rPr>
                <w:rFonts w:hint="eastAsia"/>
              </w:rPr>
              <w:t>%</w:t>
            </w:r>
            <w:r w:rsidRPr="00DE2BCD">
              <w:rPr>
                <w:rFonts w:hint="eastAsia"/>
              </w:rPr>
              <w:t>）</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其中：现场管理费率（</w:t>
            </w:r>
            <w:r w:rsidRPr="00DE2BCD">
              <w:rPr>
                <w:rFonts w:hint="eastAsia"/>
              </w:rPr>
              <w:t>%</w:t>
            </w:r>
            <w:r w:rsidRPr="00DE2BCD">
              <w:rPr>
                <w:rFonts w:hint="eastAsia"/>
              </w:rPr>
              <w:t>）</w:t>
            </w:r>
          </w:p>
        </w:tc>
      </w:tr>
      <w:tr w:rsidR="009A46AD" w:rsidRPr="00DE2BCD" w:rsidTr="00A553A5">
        <w:trPr>
          <w:trHeight w:val="312"/>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r>
      <w:tr w:rsidR="009A46AD" w:rsidRPr="00DE2BCD" w:rsidTr="00A553A5">
        <w:trPr>
          <w:trHeight w:val="510"/>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通信</w:t>
            </w:r>
            <w:r w:rsidRPr="00DE2BCD">
              <w:rPr>
                <w:rFonts w:hint="eastAsia"/>
              </w:rPr>
              <w:t xml:space="preserve"> </w:t>
            </w:r>
            <w:r w:rsidRPr="00DE2BCD">
              <w:rPr>
                <w:rFonts w:hint="eastAsia"/>
              </w:rPr>
              <w:t>信号工程</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人工费</w:t>
            </w:r>
          </w:p>
        </w:tc>
        <w:tc>
          <w:tcPr>
            <w:tcW w:w="171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63.21</w:t>
            </w:r>
          </w:p>
        </w:tc>
        <w:tc>
          <w:tcPr>
            <w:tcW w:w="245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27.12</w:t>
            </w:r>
          </w:p>
        </w:tc>
      </w:tr>
      <w:tr w:rsidR="009A46AD" w:rsidRPr="00DE2BCD" w:rsidTr="00A553A5">
        <w:trPr>
          <w:trHeight w:val="510"/>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供电工程</w:t>
            </w: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66.95</w:t>
            </w:r>
          </w:p>
        </w:tc>
        <w:tc>
          <w:tcPr>
            <w:tcW w:w="245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28.65</w:t>
            </w:r>
          </w:p>
        </w:tc>
      </w:tr>
      <w:tr w:rsidR="009A46AD" w:rsidRPr="00DE2BCD" w:rsidTr="00A553A5">
        <w:trPr>
          <w:trHeight w:val="419"/>
          <w:jc w:val="center"/>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w:t>
            </w:r>
          </w:p>
        </w:tc>
        <w:tc>
          <w:tcPr>
            <w:tcW w:w="1865"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智能与控制系统、机电工程</w:t>
            </w:r>
          </w:p>
        </w:tc>
        <w:tc>
          <w:tcPr>
            <w:tcW w:w="1821"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智能与控制系统工程</w:t>
            </w: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65.19</w:t>
            </w:r>
          </w:p>
        </w:tc>
        <w:tc>
          <w:tcPr>
            <w:tcW w:w="245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27.87</w:t>
            </w:r>
          </w:p>
        </w:tc>
      </w:tr>
      <w:tr w:rsidR="009A46AD" w:rsidRPr="00DE2BCD" w:rsidTr="00A553A5">
        <w:trPr>
          <w:trHeight w:val="510"/>
          <w:jc w:val="cent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821"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机电工程</w:t>
            </w: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71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66.30</w:t>
            </w:r>
          </w:p>
        </w:tc>
        <w:tc>
          <w:tcPr>
            <w:tcW w:w="245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28.43</w:t>
            </w:r>
          </w:p>
        </w:tc>
      </w:tr>
    </w:tbl>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三、2012年《北京市房屋修缮工程计价依据——预算定额》</w:t>
      </w:r>
    </w:p>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01 土建工程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1.工程水电费</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911"/>
        <w:gridCol w:w="3052"/>
        <w:gridCol w:w="2253"/>
      </w:tblGrid>
      <w:tr w:rsidR="009A46AD" w:rsidRPr="00DE2BCD" w:rsidTr="00A553A5">
        <w:trPr>
          <w:trHeight w:val="312"/>
          <w:jc w:val="center"/>
        </w:trPr>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序号</w:t>
            </w:r>
          </w:p>
        </w:tc>
        <w:tc>
          <w:tcPr>
            <w:tcW w:w="1101"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1758"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计费基数</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费率（</w:t>
            </w:r>
            <w:r w:rsidRPr="00DE2BCD">
              <w:rPr>
                <w:rFonts w:hint="eastAsia"/>
              </w:rPr>
              <w:t>%</w:t>
            </w:r>
            <w:r w:rsidRPr="00DE2BCD">
              <w:rPr>
                <w:rFonts w:hint="eastAsia"/>
              </w:rPr>
              <w:t>）</w:t>
            </w:r>
          </w:p>
        </w:tc>
      </w:tr>
      <w:tr w:rsidR="009A46AD" w:rsidRPr="00DE2BCD" w:rsidTr="00A553A5">
        <w:trPr>
          <w:trHeight w:val="312"/>
          <w:jc w:val="center"/>
        </w:trPr>
        <w:tc>
          <w:tcPr>
            <w:tcW w:w="843"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758"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r>
      <w:tr w:rsidR="009A46AD" w:rsidRPr="00DE2BCD" w:rsidTr="00A553A5">
        <w:trPr>
          <w:trHeight w:val="510"/>
          <w:jc w:val="center"/>
        </w:trPr>
        <w:tc>
          <w:tcPr>
            <w:tcW w:w="843"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1101"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土建工程</w:t>
            </w:r>
          </w:p>
        </w:tc>
        <w:tc>
          <w:tcPr>
            <w:tcW w:w="1758"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除税直接工程费</w:t>
            </w:r>
          </w:p>
        </w:tc>
        <w:tc>
          <w:tcPr>
            <w:tcW w:w="1298"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0.80</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2.其他措施费</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452"/>
        <w:gridCol w:w="734"/>
        <w:gridCol w:w="1952"/>
        <w:gridCol w:w="2304"/>
      </w:tblGrid>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序号</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项目名称</w:t>
            </w:r>
          </w:p>
        </w:tc>
        <w:tc>
          <w:tcPr>
            <w:tcW w:w="73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取费基数</w:t>
            </w: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费率（%）</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其中人工费占比（%）</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安全文明施工费</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除税直接工程费</w:t>
            </w: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1.00</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54</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2</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夜间施工费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0.48</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44</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3</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二次搬运费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1.52</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91</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4</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冬雨季施工费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0.82</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54</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5</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临时设施费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1.80</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28</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6</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施工困难增加费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0.52</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64</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7</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原有建筑物、设备、陈设、高级装修及文物保护费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0.50</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33</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8</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高台建筑增加费（高在2m以上）</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0.50</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78</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9</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高台建筑增加费（高在5m以上）</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0.72</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78</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10</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超高增加费（高在25～45m）</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0.50</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78</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11</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超高增加费（高在45m以上）</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0.72</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78</w:t>
            </w:r>
          </w:p>
        </w:tc>
      </w:tr>
      <w:tr w:rsidR="009A46AD" w:rsidRPr="00DE2BCD" w:rsidTr="00A553A5">
        <w:trPr>
          <w:trHeight w:val="567"/>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lastRenderedPageBreak/>
              <w:t>12</w:t>
            </w:r>
          </w:p>
        </w:tc>
        <w:tc>
          <w:tcPr>
            <w:tcW w:w="34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r w:rsidRPr="00DE2BCD">
              <w:rPr>
                <w:rFonts w:ascii="宋体" w:hAnsi="宋体" w:hint="eastAsia"/>
                <w:szCs w:val="21"/>
              </w:rPr>
              <w:t>施工排水、降水费</w:t>
            </w: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rPr>
                <w:rFonts w:ascii="宋体" w:hAnsi="宋体"/>
                <w:szCs w:val="21"/>
              </w:rPr>
            </w:pPr>
          </w:p>
        </w:tc>
        <w:tc>
          <w:tcPr>
            <w:tcW w:w="1952"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0.55</w:t>
            </w:r>
          </w:p>
        </w:tc>
        <w:tc>
          <w:tcPr>
            <w:tcW w:w="230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rPr>
                <w:rFonts w:ascii="宋体" w:hAnsi="宋体"/>
                <w:szCs w:val="21"/>
              </w:rPr>
            </w:pPr>
            <w:r w:rsidRPr="00DE2BCD">
              <w:rPr>
                <w:rFonts w:ascii="宋体" w:hAnsi="宋体" w:hint="eastAsia"/>
                <w:szCs w:val="21"/>
              </w:rPr>
              <w:t>49</w:t>
            </w:r>
          </w:p>
        </w:tc>
      </w:tr>
    </w:tbl>
    <w:p w:rsidR="009A46AD" w:rsidRDefault="009A46AD" w:rsidP="009A46AD">
      <w:pPr>
        <w:spacing w:line="345" w:lineRule="atLeast"/>
        <w:rPr>
          <w:rFonts w:ascii="宋体" w:hAnsi="宋体" w:cs="宋体"/>
          <w:szCs w:val="21"/>
        </w:rPr>
      </w:pPr>
    </w:p>
    <w:p w:rsidR="009A46AD" w:rsidRPr="006B1497" w:rsidRDefault="009A46AD" w:rsidP="009A46AD">
      <w:pPr>
        <w:spacing w:line="360" w:lineRule="auto"/>
        <w:rPr>
          <w:rFonts w:ascii="宋体"/>
          <w:spacing w:val="6"/>
          <w:sz w:val="24"/>
        </w:rPr>
      </w:pPr>
      <w:r w:rsidRPr="006B1497">
        <w:rPr>
          <w:rFonts w:ascii="宋体" w:hint="eastAsia"/>
          <w:spacing w:val="6"/>
          <w:sz w:val="24"/>
        </w:rPr>
        <w:t>3.企业管理费</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200"/>
        <w:gridCol w:w="1446"/>
        <w:gridCol w:w="1260"/>
        <w:gridCol w:w="2034"/>
        <w:gridCol w:w="2520"/>
      </w:tblGrid>
      <w:tr w:rsidR="009A46AD" w:rsidRPr="00DE2BCD" w:rsidTr="00A553A5">
        <w:trPr>
          <w:trHeight w:val="567"/>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序号</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计费基数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企业管理费率（</w:t>
            </w:r>
            <w:r w:rsidRPr="00DE2BCD">
              <w:rPr>
                <w:rFonts w:hint="eastAsia"/>
              </w:rPr>
              <w:t>%</w:t>
            </w:r>
            <w:r w:rsidRPr="00DE2BCD">
              <w:rPr>
                <w:rFonts w:hint="eastAsia"/>
              </w:rPr>
              <w:t>）</w:t>
            </w:r>
          </w:p>
        </w:tc>
        <w:tc>
          <w:tcPr>
            <w:tcW w:w="4554" w:type="dxa"/>
            <w:gridSpan w:val="2"/>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其中：</w:t>
            </w:r>
          </w:p>
        </w:tc>
      </w:tr>
      <w:tr w:rsidR="009A46AD" w:rsidRPr="00DE2BCD" w:rsidTr="00A553A5">
        <w:trPr>
          <w:trHeight w:val="567"/>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03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现场管理费率（</w:t>
            </w:r>
            <w:r w:rsidRPr="00DE2BCD">
              <w:rPr>
                <w:rFonts w:hint="eastAsia"/>
              </w:rPr>
              <w:t>%</w:t>
            </w:r>
            <w:r w:rsidRPr="00DE2BCD">
              <w:rPr>
                <w:rFonts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工程质量检测费率（</w:t>
            </w:r>
            <w:r w:rsidRPr="00DE2BCD">
              <w:rPr>
                <w:rFonts w:hint="eastAsia"/>
              </w:rPr>
              <w:t>%</w:t>
            </w:r>
            <w:r w:rsidRPr="00DE2BCD">
              <w:rPr>
                <w:rFonts w:hint="eastAsia"/>
              </w:rPr>
              <w:t>）</w:t>
            </w:r>
          </w:p>
        </w:tc>
      </w:tr>
      <w:tr w:rsidR="009A46AD" w:rsidRPr="00DE2BCD" w:rsidTr="00A553A5">
        <w:trPr>
          <w:trHeight w:val="567"/>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土建工程</w:t>
            </w:r>
          </w:p>
        </w:tc>
        <w:tc>
          <w:tcPr>
            <w:tcW w:w="144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除税直接费</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16.26</w:t>
            </w:r>
          </w:p>
        </w:tc>
        <w:tc>
          <w:tcPr>
            <w:tcW w:w="2034"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6.85</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0.43</w:t>
            </w:r>
          </w:p>
        </w:tc>
      </w:tr>
    </w:tbl>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02 古建筑工程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1.工程水电费</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931"/>
        <w:gridCol w:w="1573"/>
        <w:gridCol w:w="4552"/>
      </w:tblGrid>
      <w:tr w:rsidR="009A46AD" w:rsidRPr="00DE2BCD" w:rsidTr="00A553A5">
        <w:trPr>
          <w:trHeight w:val="567"/>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序号</w:t>
            </w:r>
          </w:p>
        </w:tc>
        <w:tc>
          <w:tcPr>
            <w:tcW w:w="1090"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计费基数</w:t>
            </w:r>
          </w:p>
        </w:tc>
        <w:tc>
          <w:tcPr>
            <w:tcW w:w="2570" w:type="pct"/>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费率（</w:t>
            </w:r>
            <w:r w:rsidRPr="00DE2BCD">
              <w:rPr>
                <w:rFonts w:hint="eastAsia"/>
              </w:rPr>
              <w:t>%</w:t>
            </w:r>
            <w:r w:rsidRPr="00DE2BCD">
              <w:rPr>
                <w:rFonts w:hint="eastAsia"/>
              </w:rPr>
              <w:t>）</w:t>
            </w:r>
          </w:p>
        </w:tc>
      </w:tr>
      <w:tr w:rsidR="009A46AD" w:rsidRPr="00DE2BCD" w:rsidTr="00A553A5">
        <w:trPr>
          <w:trHeight w:val="312"/>
          <w:jc w:val="cent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888"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r>
      <w:tr w:rsidR="009A46AD" w:rsidRPr="00DE2BCD" w:rsidTr="00A553A5">
        <w:trPr>
          <w:trHeight w:val="567"/>
          <w:jc w:val="center"/>
        </w:trPr>
        <w:tc>
          <w:tcPr>
            <w:tcW w:w="452"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1090"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古建筑工程</w:t>
            </w:r>
          </w:p>
        </w:tc>
        <w:tc>
          <w:tcPr>
            <w:tcW w:w="888"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人工费</w:t>
            </w:r>
          </w:p>
        </w:tc>
        <w:tc>
          <w:tcPr>
            <w:tcW w:w="2570" w:type="pc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1.30</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2.其他措施费</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3473"/>
        <w:gridCol w:w="1197"/>
        <w:gridCol w:w="1417"/>
        <w:gridCol w:w="2496"/>
      </w:tblGrid>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序号</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项目名称</w:t>
            </w:r>
          </w:p>
        </w:tc>
        <w:tc>
          <w:tcPr>
            <w:tcW w:w="119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取费基数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费率（</w:t>
            </w:r>
            <w:r w:rsidRPr="00DE2BCD">
              <w:rPr>
                <w:rFonts w:hint="eastAsia"/>
              </w:rPr>
              <w:t>%</w:t>
            </w:r>
            <w:r w:rsidRPr="00DE2BCD">
              <w:rPr>
                <w:rFonts w:hint="eastAsia"/>
              </w:rPr>
              <w:t>）</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其中人工费占比（</w:t>
            </w:r>
            <w:r w:rsidRPr="00DE2BCD">
              <w:rPr>
                <w:rFonts w:hint="eastAsia"/>
              </w:rPr>
              <w:t>%</w:t>
            </w:r>
            <w:r w:rsidRPr="00DE2BCD">
              <w:rPr>
                <w:rFonts w:hint="eastAsia"/>
              </w:rPr>
              <w:t>）</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安全文明施工费</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人工费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2.80</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54</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夜间施工费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1.34</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44</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二次搬运费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4.62</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91</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4</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冬雨季施工费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2.50</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54</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临时设施费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5.43</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28</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施工困难增加费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1.37</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64</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7</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原有建筑物、设备、陈设、高级装修及文物保护费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1.37</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33</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8</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高台建筑增加费（高在</w:t>
            </w:r>
            <w:r w:rsidRPr="00DE2BCD">
              <w:rPr>
                <w:rFonts w:hint="eastAsia"/>
              </w:rPr>
              <w:t>2m</w:t>
            </w:r>
            <w:r w:rsidRPr="00DE2BCD">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1.57</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78</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9</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高台建筑增加费（高在</w:t>
            </w:r>
            <w:r w:rsidRPr="00DE2BCD">
              <w:rPr>
                <w:rFonts w:hint="eastAsia"/>
              </w:rPr>
              <w:t>5m</w:t>
            </w:r>
            <w:r w:rsidRPr="00DE2BCD">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2.15</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78</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10</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超高增加费（高在</w:t>
            </w:r>
            <w:r w:rsidRPr="00DE2BCD">
              <w:rPr>
                <w:rFonts w:hint="eastAsia"/>
              </w:rPr>
              <w:t>25</w:t>
            </w:r>
            <w:r w:rsidRPr="00DE2BCD">
              <w:rPr>
                <w:rFonts w:hint="eastAsia"/>
              </w:rPr>
              <w:t>～</w:t>
            </w:r>
            <w:r w:rsidRPr="00DE2BCD">
              <w:rPr>
                <w:rFonts w:hint="eastAsia"/>
              </w:rPr>
              <w:t>45m</w:t>
            </w:r>
            <w:r w:rsidRPr="00DE2BCD">
              <w:rPr>
                <w:rFonts w:hint="eastAsia"/>
              </w:rPr>
              <w:t>）</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1.57</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78</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11</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超高增加费（高在</w:t>
            </w:r>
            <w:r w:rsidRPr="00DE2BCD">
              <w:rPr>
                <w:rFonts w:hint="eastAsia"/>
              </w:rPr>
              <w:t>45m</w:t>
            </w:r>
            <w:r w:rsidRPr="00DE2BCD">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2.15</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78</w:t>
            </w:r>
          </w:p>
        </w:tc>
      </w:tr>
      <w:tr w:rsidR="009A46AD" w:rsidTr="00A553A5">
        <w:trPr>
          <w:trHeight w:val="567"/>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12</w:t>
            </w:r>
          </w:p>
        </w:tc>
        <w:tc>
          <w:tcPr>
            <w:tcW w:w="3473"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施工排水、降水费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1.66</w:t>
            </w:r>
          </w:p>
        </w:tc>
        <w:tc>
          <w:tcPr>
            <w:tcW w:w="2496" w:type="dxa"/>
            <w:tcBorders>
              <w:top w:val="single" w:sz="4" w:space="0" w:color="auto"/>
              <w:left w:val="single" w:sz="4" w:space="0" w:color="auto"/>
              <w:bottom w:val="single" w:sz="4" w:space="0" w:color="auto"/>
              <w:right w:val="single" w:sz="4" w:space="0" w:color="auto"/>
            </w:tcBorders>
            <w:vAlign w:val="center"/>
            <w:hideMark/>
          </w:tcPr>
          <w:p w:rsidR="009A46AD" w:rsidRPr="00DE2BCD" w:rsidRDefault="009A46AD" w:rsidP="00A553A5">
            <w:pPr>
              <w:jc w:val="center"/>
            </w:pPr>
            <w:r w:rsidRPr="00DE2BCD">
              <w:rPr>
                <w:rFonts w:hint="eastAsia"/>
              </w:rPr>
              <w:t>49</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lastRenderedPageBreak/>
        <w:t>3.企业管理费</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38"/>
        <w:gridCol w:w="1034"/>
        <w:gridCol w:w="1303"/>
        <w:gridCol w:w="2396"/>
        <w:gridCol w:w="2396"/>
      </w:tblGrid>
      <w:tr w:rsidR="009A46AD" w:rsidRPr="00F83B05" w:rsidTr="00A553A5">
        <w:trPr>
          <w:trHeight w:val="430"/>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w:t>
            </w:r>
          </w:p>
          <w:p w:rsidR="009A46AD" w:rsidRPr="00F83B05" w:rsidRDefault="009A46AD" w:rsidP="00A553A5">
            <w:pPr>
              <w:jc w:val="center"/>
            </w:pPr>
            <w:r w:rsidRPr="00F83B05">
              <w:rPr>
                <w:rFonts w:hint="eastAsia"/>
              </w:rPr>
              <w:t>基数</w:t>
            </w:r>
          </w:p>
        </w:tc>
        <w:tc>
          <w:tcPr>
            <w:tcW w:w="130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企业管理费率（</w:t>
            </w:r>
            <w:r w:rsidRPr="00F83B05">
              <w:rPr>
                <w:rFonts w:hint="eastAsia"/>
              </w:rPr>
              <w:t>%</w:t>
            </w:r>
            <w:r w:rsidRPr="00F83B05">
              <w:rPr>
                <w:rFonts w:hint="eastAsia"/>
              </w:rPr>
              <w:t>）</w:t>
            </w:r>
          </w:p>
        </w:tc>
        <w:tc>
          <w:tcPr>
            <w:tcW w:w="4792" w:type="dxa"/>
            <w:gridSpan w:val="2"/>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w:t>
            </w:r>
          </w:p>
        </w:tc>
      </w:tr>
      <w:tr w:rsidR="009A46AD" w:rsidRPr="00F83B05" w:rsidTr="00A553A5">
        <w:trPr>
          <w:trHeight w:val="447"/>
          <w:jc w:val="center"/>
        </w:trPr>
        <w:tc>
          <w:tcPr>
            <w:tcW w:w="588"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396"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现场管理费率（</w:t>
            </w:r>
            <w:r w:rsidRPr="00F83B05">
              <w:rPr>
                <w:rFonts w:hint="eastAsia"/>
              </w:rPr>
              <w:t>%</w:t>
            </w:r>
            <w:r w:rsidRPr="00F83B05">
              <w:rPr>
                <w:rFonts w:hint="eastAsia"/>
              </w:rPr>
              <w:t>）</w:t>
            </w:r>
          </w:p>
        </w:tc>
        <w:tc>
          <w:tcPr>
            <w:tcW w:w="2396"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工程质量检测费率（</w:t>
            </w:r>
            <w:r w:rsidRPr="00F83B05">
              <w:rPr>
                <w:rFonts w:hint="eastAsia"/>
              </w:rPr>
              <w:t>%</w:t>
            </w:r>
            <w:r w:rsidRPr="00F83B05">
              <w:rPr>
                <w:rFonts w:hint="eastAsia"/>
              </w:rPr>
              <w:t>）</w:t>
            </w:r>
          </w:p>
        </w:tc>
      </w:tr>
      <w:tr w:rsidR="009A46AD" w:rsidRPr="00F83B05" w:rsidTr="00A553A5">
        <w:trPr>
          <w:trHeight w:val="54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143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古建筑工程</w:t>
            </w:r>
          </w:p>
        </w:tc>
        <w:tc>
          <w:tcPr>
            <w:tcW w:w="103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c>
          <w:tcPr>
            <w:tcW w:w="1303"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37.72</w:t>
            </w:r>
          </w:p>
        </w:tc>
        <w:tc>
          <w:tcPr>
            <w:tcW w:w="2396"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16.31</w:t>
            </w:r>
          </w:p>
        </w:tc>
        <w:tc>
          <w:tcPr>
            <w:tcW w:w="2396"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0.92</w:t>
            </w:r>
          </w:p>
        </w:tc>
      </w:tr>
    </w:tbl>
    <w:p w:rsidR="009A46AD" w:rsidRDefault="009A46AD" w:rsidP="009A46AD">
      <w:pPr>
        <w:spacing w:line="360" w:lineRule="auto"/>
        <w:rPr>
          <w:rFonts w:ascii="宋体" w:hint="eastAsia"/>
          <w:spacing w:val="6"/>
          <w:sz w:val="24"/>
        </w:rPr>
      </w:pPr>
    </w:p>
    <w:p w:rsidR="009A46AD" w:rsidRDefault="009A46AD" w:rsidP="009A46AD">
      <w:pPr>
        <w:spacing w:line="360" w:lineRule="auto"/>
        <w:rPr>
          <w:rFonts w:ascii="宋体" w:hint="eastAsia"/>
          <w:spacing w:val="6"/>
          <w:sz w:val="24"/>
        </w:rPr>
      </w:pPr>
    </w:p>
    <w:p w:rsidR="009A46AD" w:rsidRDefault="009A46AD" w:rsidP="009A46AD">
      <w:pPr>
        <w:spacing w:line="360" w:lineRule="auto"/>
        <w:rPr>
          <w:rFonts w:ascii="宋体" w:hint="eastAsia"/>
          <w:spacing w:val="6"/>
          <w:sz w:val="24"/>
        </w:rPr>
      </w:pPr>
    </w:p>
    <w:p w:rsidR="009A46AD" w:rsidRPr="006B1497" w:rsidRDefault="009A46AD" w:rsidP="009A46AD">
      <w:pPr>
        <w:spacing w:line="360" w:lineRule="auto"/>
        <w:rPr>
          <w:rFonts w:ascii="宋体"/>
          <w:spacing w:val="6"/>
          <w:sz w:val="24"/>
        </w:rPr>
      </w:pPr>
      <w:r w:rsidRPr="006B1497">
        <w:rPr>
          <w:rFonts w:ascii="宋体" w:hint="eastAsia"/>
          <w:spacing w:val="6"/>
          <w:sz w:val="24"/>
        </w:rPr>
        <w:t>4.利润</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1541"/>
        <w:gridCol w:w="2694"/>
        <w:gridCol w:w="3687"/>
      </w:tblGrid>
      <w:tr w:rsidR="009A46AD" w:rsidTr="00A553A5">
        <w:trPr>
          <w:trHeight w:val="364"/>
          <w:jc w:val="center"/>
        </w:trPr>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计费基数</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费率（</w:t>
            </w:r>
            <w:r w:rsidRPr="00F83B05">
              <w:rPr>
                <w:rFonts w:hint="eastAsia"/>
              </w:rPr>
              <w:t>%</w:t>
            </w:r>
            <w:r w:rsidRPr="00F83B05">
              <w:rPr>
                <w:rFonts w:hint="eastAsia"/>
              </w:rPr>
              <w:t>）</w:t>
            </w:r>
          </w:p>
        </w:tc>
      </w:tr>
      <w:tr w:rsidR="009A46AD" w:rsidTr="00A553A5">
        <w:trPr>
          <w:trHeight w:val="364"/>
          <w:jc w:val="center"/>
        </w:trPr>
        <w:tc>
          <w:tcPr>
            <w:tcW w:w="107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r>
      <w:tr w:rsidR="009A46AD" w:rsidTr="00A553A5">
        <w:trPr>
          <w:trHeight w:val="400"/>
          <w:jc w:val="center"/>
        </w:trPr>
        <w:tc>
          <w:tcPr>
            <w:tcW w:w="107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154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古建筑工程</w:t>
            </w:r>
          </w:p>
        </w:tc>
        <w:tc>
          <w:tcPr>
            <w:tcW w:w="269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r w:rsidRPr="00F83B05">
              <w:rPr>
                <w:rFonts w:hint="eastAsia"/>
              </w:rPr>
              <w:t>+</w:t>
            </w:r>
            <w:r w:rsidRPr="00F83B05">
              <w:rPr>
                <w:rFonts w:hint="eastAsia"/>
              </w:rPr>
              <w:t>企业管理费</w:t>
            </w:r>
          </w:p>
        </w:tc>
        <w:tc>
          <w:tcPr>
            <w:tcW w:w="368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13.00</w:t>
            </w:r>
          </w:p>
        </w:tc>
      </w:tr>
    </w:tbl>
    <w:p w:rsidR="009A46AD" w:rsidRPr="00F83B05" w:rsidRDefault="009A46AD" w:rsidP="009A46AD">
      <w:pPr>
        <w:spacing w:line="345" w:lineRule="atLeast"/>
        <w:jc w:val="center"/>
        <w:rPr>
          <w:rFonts w:ascii="宋体" w:hAnsi="宋体" w:cs="宋体"/>
          <w:szCs w:val="21"/>
        </w:rPr>
      </w:pPr>
      <w:r>
        <w:rPr>
          <w:rFonts w:ascii="宋体" w:hAnsi="宋体" w:cs="宋体" w:hint="eastAsia"/>
          <w:szCs w:val="21"/>
        </w:rPr>
        <w:br w:type="textWrapping" w:clear="all"/>
      </w:r>
      <w:r w:rsidRPr="006B1497">
        <w:rPr>
          <w:rFonts w:ascii="黑体" w:eastAsia="黑体" w:hAnsi="黑体" w:hint="eastAsia"/>
          <w:sz w:val="24"/>
          <w:szCs w:val="32"/>
        </w:rPr>
        <w:t>03 安装工程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1.系统调试费</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3130"/>
        <w:gridCol w:w="1134"/>
        <w:gridCol w:w="1482"/>
        <w:gridCol w:w="2520"/>
      </w:tblGrid>
      <w:tr w:rsidR="009A46AD" w:rsidTr="00A553A5">
        <w:trPr>
          <w:trHeight w:val="597"/>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313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取费基数</w:t>
            </w:r>
          </w:p>
        </w:tc>
        <w:tc>
          <w:tcPr>
            <w:tcW w:w="14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费率标准（</w:t>
            </w:r>
            <w:r w:rsidRPr="00F83B05">
              <w:rPr>
                <w:rFonts w:hint="eastAsia"/>
              </w:rPr>
              <w:t>%</w:t>
            </w:r>
            <w:r w:rsidRPr="00F83B05">
              <w:rPr>
                <w:rFonts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其中人工费占比（</w:t>
            </w:r>
            <w:r w:rsidRPr="00F83B05">
              <w:rPr>
                <w:rFonts w:hint="eastAsia"/>
              </w:rPr>
              <w:t>%</w:t>
            </w:r>
            <w:r w:rsidRPr="00F83B05">
              <w:rPr>
                <w:rFonts w:hint="eastAsia"/>
              </w:rPr>
              <w:t>）</w:t>
            </w:r>
          </w:p>
        </w:tc>
      </w:tr>
      <w:tr w:rsidR="009A46AD" w:rsidTr="00A553A5">
        <w:trPr>
          <w:trHeight w:val="794"/>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采暖、消防水、空调水工</w:t>
            </w:r>
            <w:proofErr w:type="gramStart"/>
            <w:r w:rsidRPr="00F83B05">
              <w:rPr>
                <w:rFonts w:hint="eastAsia"/>
              </w:rPr>
              <w:t>程系统</w:t>
            </w:r>
            <w:proofErr w:type="gramEnd"/>
            <w:r w:rsidRPr="00F83B05">
              <w:rPr>
                <w:rFonts w:hint="eastAsia"/>
              </w:rPr>
              <w:t>调试费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单位工程人工费</w:t>
            </w:r>
          </w:p>
        </w:tc>
        <w:tc>
          <w:tcPr>
            <w:tcW w:w="14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14.38</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30</w:t>
            </w:r>
          </w:p>
        </w:tc>
      </w:tr>
      <w:tr w:rsidR="009A46AD" w:rsidTr="00A553A5">
        <w:trPr>
          <w:trHeight w:val="693"/>
          <w:jc w:val="center"/>
        </w:trPr>
        <w:tc>
          <w:tcPr>
            <w:tcW w:w="78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w:t>
            </w:r>
          </w:p>
        </w:tc>
        <w:tc>
          <w:tcPr>
            <w:tcW w:w="313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通风空调工程系统调试费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4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13.48</w:t>
            </w:r>
          </w:p>
        </w:tc>
        <w:tc>
          <w:tcPr>
            <w:tcW w:w="252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30</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2.工程水电费</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1559"/>
        <w:gridCol w:w="1593"/>
        <w:gridCol w:w="5082"/>
      </w:tblGrid>
      <w:tr w:rsidR="009A46AD" w:rsidTr="00A553A5">
        <w:trPr>
          <w:trHeight w:val="431"/>
          <w:jc w:val="center"/>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计费基数</w:t>
            </w:r>
          </w:p>
        </w:tc>
        <w:tc>
          <w:tcPr>
            <w:tcW w:w="508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费率（</w:t>
            </w:r>
            <w:r w:rsidRPr="00F83B05">
              <w:rPr>
                <w:rFonts w:hint="eastAsia"/>
              </w:rPr>
              <w:t>%</w:t>
            </w:r>
            <w:r w:rsidRPr="00F83B05">
              <w:rPr>
                <w:rFonts w:hint="eastAsia"/>
              </w:rPr>
              <w:t>）</w:t>
            </w:r>
          </w:p>
        </w:tc>
      </w:tr>
      <w:tr w:rsidR="009A46AD" w:rsidTr="00A553A5">
        <w:trPr>
          <w:trHeight w:val="312"/>
          <w:jc w:val="center"/>
        </w:trPr>
        <w:tc>
          <w:tcPr>
            <w:tcW w:w="78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5082"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r>
      <w:tr w:rsidR="009A46AD" w:rsidTr="00A553A5">
        <w:trPr>
          <w:trHeight w:val="645"/>
          <w:jc w:val="center"/>
        </w:trPr>
        <w:tc>
          <w:tcPr>
            <w:tcW w:w="7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安装工程</w:t>
            </w:r>
          </w:p>
        </w:tc>
        <w:tc>
          <w:tcPr>
            <w:tcW w:w="1593"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c>
          <w:tcPr>
            <w:tcW w:w="50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1.33</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3.其他措施费</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477"/>
        <w:gridCol w:w="1197"/>
        <w:gridCol w:w="1281"/>
        <w:gridCol w:w="2527"/>
      </w:tblGrid>
      <w:tr w:rsidR="009A46AD" w:rsidRPr="006B1497"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119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取费基数</w:t>
            </w:r>
          </w:p>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费率（</w:t>
            </w:r>
            <w:r w:rsidRPr="00F83B05">
              <w:rPr>
                <w:rFonts w:hint="eastAsia"/>
              </w:rPr>
              <w:t>%</w:t>
            </w:r>
            <w:r w:rsidRPr="00F83B05">
              <w:rPr>
                <w:rFonts w:hint="eastAsia"/>
              </w:rPr>
              <w:t>）</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其中人工费占比（</w:t>
            </w:r>
            <w:r w:rsidRPr="00F83B05">
              <w:rPr>
                <w:rFonts w:hint="eastAsia"/>
              </w:rPr>
              <w:t>%</w:t>
            </w:r>
            <w:r w:rsidRPr="00F83B05">
              <w:rPr>
                <w:rFonts w:hint="eastAsia"/>
              </w:rPr>
              <w:t>）</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安全文明施工费</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2.64</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54</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夜间施工费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1.41</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44</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二次搬运费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2.08</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91</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冬雨季施工费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2.21</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54</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临时设施费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4.78</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28</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lastRenderedPageBreak/>
              <w:t>6</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施工困难增加费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1.45</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64</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原有建筑物、设备、陈设、高级装修及文物保护费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1.38</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33</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8</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高台建筑增加费（高在</w:t>
            </w:r>
            <w:r w:rsidRPr="00F83B05">
              <w:rPr>
                <w:rFonts w:hint="eastAsia"/>
              </w:rPr>
              <w:t>2m</w:t>
            </w:r>
            <w:r w:rsidRPr="00F83B05">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1.25</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78</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9</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高台建筑增加费（高在</w:t>
            </w:r>
            <w:r w:rsidRPr="00F83B05">
              <w:rPr>
                <w:rFonts w:hint="eastAsia"/>
              </w:rPr>
              <w:t>5m</w:t>
            </w:r>
            <w:r w:rsidRPr="00F83B05">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1.50</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78</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10</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超高增加费（高在</w:t>
            </w:r>
            <w:r w:rsidRPr="00F83B05">
              <w:rPr>
                <w:rFonts w:hint="eastAsia"/>
              </w:rPr>
              <w:t>25</w:t>
            </w:r>
            <w:r w:rsidRPr="00F83B05">
              <w:rPr>
                <w:rFonts w:hint="eastAsia"/>
              </w:rPr>
              <w:t>～</w:t>
            </w:r>
            <w:r w:rsidRPr="00F83B05">
              <w:rPr>
                <w:rFonts w:hint="eastAsia"/>
              </w:rPr>
              <w:t>45m</w:t>
            </w:r>
            <w:r w:rsidRPr="00F83B05">
              <w:rPr>
                <w:rFonts w:hint="eastAsia"/>
              </w:rPr>
              <w:t>）</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1.20</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78</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11</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超高增加费（高在</w:t>
            </w:r>
            <w:r w:rsidRPr="00F83B05">
              <w:rPr>
                <w:rFonts w:hint="eastAsia"/>
              </w:rPr>
              <w:t>45m</w:t>
            </w:r>
            <w:r w:rsidRPr="00F83B05">
              <w:rPr>
                <w:rFonts w:hint="eastAsia"/>
              </w:rPr>
              <w:t>以上）</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1.54</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78</w:t>
            </w:r>
          </w:p>
        </w:tc>
      </w:tr>
      <w:tr w:rsidR="009A46AD" w:rsidTr="00A553A5">
        <w:trPr>
          <w:trHeight w:val="454"/>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w:t>
            </w:r>
          </w:p>
        </w:tc>
        <w:tc>
          <w:tcPr>
            <w:tcW w:w="347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施工排水、降水费</w:t>
            </w: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28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1.66</w:t>
            </w:r>
          </w:p>
        </w:tc>
        <w:tc>
          <w:tcPr>
            <w:tcW w:w="2527"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49</w:t>
            </w:r>
          </w:p>
        </w:tc>
      </w:tr>
    </w:tbl>
    <w:p w:rsidR="009A46AD" w:rsidRPr="006B1497" w:rsidRDefault="009A46AD" w:rsidP="009A46AD">
      <w:pPr>
        <w:spacing w:line="360" w:lineRule="auto"/>
        <w:rPr>
          <w:rFonts w:ascii="宋体"/>
          <w:spacing w:val="6"/>
          <w:sz w:val="24"/>
        </w:rPr>
      </w:pPr>
      <w:r>
        <w:rPr>
          <w:rFonts w:ascii="宋体" w:hint="eastAsia"/>
          <w:spacing w:val="6"/>
          <w:sz w:val="24"/>
        </w:rPr>
        <w:t>4</w:t>
      </w:r>
      <w:r w:rsidRPr="006B1497">
        <w:rPr>
          <w:rFonts w:ascii="宋体" w:hint="eastAsia"/>
          <w:spacing w:val="6"/>
          <w:sz w:val="24"/>
        </w:rPr>
        <w:t>.企业管理费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354"/>
        <w:gridCol w:w="1354"/>
        <w:gridCol w:w="2433"/>
        <w:gridCol w:w="3152"/>
      </w:tblGrid>
      <w:tr w:rsidR="009A46AD" w:rsidTr="00A553A5">
        <w:trPr>
          <w:trHeight w:val="573"/>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135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135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计费基数</w:t>
            </w:r>
          </w:p>
        </w:tc>
        <w:tc>
          <w:tcPr>
            <w:tcW w:w="2433"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企业管理费率（</w:t>
            </w:r>
            <w:r w:rsidRPr="00F83B05">
              <w:rPr>
                <w:rFonts w:hint="eastAsia"/>
              </w:rPr>
              <w:t>%</w:t>
            </w:r>
            <w:r w:rsidRPr="00F83B05">
              <w:rPr>
                <w:rFonts w:hint="eastAsi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其中：现场管理费率（</w:t>
            </w:r>
            <w:r w:rsidRPr="00F83B05">
              <w:rPr>
                <w:rFonts w:hint="eastAsia"/>
              </w:rPr>
              <w:t>%</w:t>
            </w:r>
            <w:r w:rsidRPr="00F83B05">
              <w:rPr>
                <w:rFonts w:hint="eastAsia"/>
              </w:rPr>
              <w:t>）</w:t>
            </w:r>
          </w:p>
        </w:tc>
      </w:tr>
      <w:tr w:rsidR="009A46AD" w:rsidTr="00A553A5">
        <w:trPr>
          <w:trHeight w:val="55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135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安装工程</w:t>
            </w:r>
          </w:p>
        </w:tc>
        <w:tc>
          <w:tcPr>
            <w:tcW w:w="135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c>
          <w:tcPr>
            <w:tcW w:w="2433"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64.56</w:t>
            </w:r>
          </w:p>
        </w:tc>
        <w:tc>
          <w:tcPr>
            <w:tcW w:w="315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28.10</w:t>
            </w:r>
          </w:p>
        </w:tc>
      </w:tr>
    </w:tbl>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四、2014年《北京市城市轨道交通运营改造工程计价依据——预算定额》</w:t>
      </w:r>
    </w:p>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01 土建、轨道工程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135" w:type="dxa"/>
        <w:jc w:val="center"/>
        <w:tblLayout w:type="fixed"/>
        <w:tblLook w:val="04A0" w:firstRow="1" w:lastRow="0" w:firstColumn="1" w:lastColumn="0" w:noHBand="0" w:noVBand="1"/>
      </w:tblPr>
      <w:tblGrid>
        <w:gridCol w:w="354"/>
        <w:gridCol w:w="1255"/>
        <w:gridCol w:w="359"/>
        <w:gridCol w:w="1433"/>
        <w:gridCol w:w="1434"/>
        <w:gridCol w:w="1613"/>
        <w:gridCol w:w="1433"/>
        <w:gridCol w:w="1254"/>
      </w:tblGrid>
      <w:tr w:rsidR="009A46AD" w:rsidTr="00A553A5">
        <w:trPr>
          <w:trHeight w:val="510"/>
          <w:jc w:val="center"/>
        </w:trPr>
        <w:tc>
          <w:tcPr>
            <w:tcW w:w="19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5917" w:type="dxa"/>
            <w:gridSpan w:val="4"/>
            <w:tcBorders>
              <w:top w:val="single" w:sz="4" w:space="0" w:color="auto"/>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土建工程</w:t>
            </w:r>
          </w:p>
        </w:tc>
        <w:tc>
          <w:tcPr>
            <w:tcW w:w="1255" w:type="dxa"/>
            <w:vMerge w:val="restart"/>
            <w:tcBorders>
              <w:top w:val="single" w:sz="4" w:space="0" w:color="auto"/>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轨道工程</w:t>
            </w:r>
          </w:p>
        </w:tc>
      </w:tr>
      <w:tr w:rsidR="009A46AD" w:rsidTr="00A553A5">
        <w:trPr>
          <w:trHeight w:val="510"/>
          <w:jc w:val="center"/>
        </w:trPr>
        <w:tc>
          <w:tcPr>
            <w:tcW w:w="3581" w:type="dxa"/>
            <w:gridSpan w:val="3"/>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869" w:type="dxa"/>
            <w:gridSpan w:val="2"/>
            <w:tcBorders>
              <w:top w:val="single" w:sz="4" w:space="0" w:color="auto"/>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地上工程</w:t>
            </w:r>
          </w:p>
        </w:tc>
        <w:tc>
          <w:tcPr>
            <w:tcW w:w="3048" w:type="dxa"/>
            <w:gridSpan w:val="2"/>
            <w:tcBorders>
              <w:top w:val="single" w:sz="4" w:space="0" w:color="auto"/>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地下工程</w:t>
            </w:r>
          </w:p>
        </w:tc>
        <w:tc>
          <w:tcPr>
            <w:tcW w:w="1255" w:type="dxa"/>
            <w:vMerge/>
            <w:tcBorders>
              <w:top w:val="single" w:sz="4" w:space="0" w:color="auto"/>
              <w:left w:val="nil"/>
              <w:bottom w:val="single" w:sz="4" w:space="0" w:color="auto"/>
              <w:right w:val="single" w:sz="4" w:space="0" w:color="auto"/>
            </w:tcBorders>
            <w:vAlign w:val="center"/>
            <w:hideMark/>
          </w:tcPr>
          <w:p w:rsidR="009A46AD" w:rsidRPr="00F83B05" w:rsidRDefault="009A46AD" w:rsidP="00A553A5">
            <w:pPr>
              <w:jc w:val="center"/>
            </w:pPr>
          </w:p>
        </w:tc>
      </w:tr>
      <w:tr w:rsidR="009A46AD" w:rsidTr="00A553A5">
        <w:trPr>
          <w:trHeight w:val="510"/>
          <w:jc w:val="center"/>
        </w:trPr>
        <w:tc>
          <w:tcPr>
            <w:tcW w:w="3581" w:type="dxa"/>
            <w:gridSpan w:val="3"/>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五环路以内</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五环路以外</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五环路以内</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五环路以外</w:t>
            </w:r>
          </w:p>
        </w:tc>
        <w:tc>
          <w:tcPr>
            <w:tcW w:w="1255" w:type="dxa"/>
            <w:vMerge/>
            <w:tcBorders>
              <w:top w:val="single" w:sz="4" w:space="0" w:color="auto"/>
              <w:left w:val="nil"/>
              <w:bottom w:val="single" w:sz="4" w:space="0" w:color="auto"/>
              <w:right w:val="single" w:sz="4" w:space="0" w:color="auto"/>
            </w:tcBorders>
            <w:vAlign w:val="center"/>
            <w:hideMark/>
          </w:tcPr>
          <w:p w:rsidR="009A46AD" w:rsidRPr="00F83B05" w:rsidRDefault="009A46AD" w:rsidP="00A553A5">
            <w:pPr>
              <w:jc w:val="center"/>
            </w:pPr>
          </w:p>
        </w:tc>
      </w:tr>
      <w:tr w:rsidR="009A46AD" w:rsidTr="00A553A5">
        <w:trPr>
          <w:trHeight w:val="510"/>
          <w:jc w:val="center"/>
        </w:trPr>
        <w:tc>
          <w:tcPr>
            <w:tcW w:w="1967"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w:t>
            </w:r>
            <w:r w:rsidRPr="00F83B05">
              <w:rPr>
                <w:rFonts w:hint="eastAsia"/>
              </w:rPr>
              <w:t xml:space="preserve"> </w:t>
            </w:r>
            <w:r w:rsidRPr="00F83B05">
              <w:rPr>
                <w:rFonts w:hint="eastAsia"/>
              </w:rPr>
              <w:t>费</w:t>
            </w:r>
            <w:r w:rsidRPr="00F83B05">
              <w:rPr>
                <w:rFonts w:hint="eastAsia"/>
              </w:rPr>
              <w:t xml:space="preserve"> </w:t>
            </w:r>
            <w:r w:rsidRPr="00F83B05">
              <w:rPr>
                <w:rFonts w:hint="eastAsia"/>
              </w:rPr>
              <w:t>基</w:t>
            </w:r>
            <w:r w:rsidRPr="00F83B05">
              <w:rPr>
                <w:rFonts w:hint="eastAsia"/>
              </w:rPr>
              <w:t xml:space="preserve"> </w:t>
            </w:r>
            <w:r w:rsidRPr="00F83B05">
              <w:rPr>
                <w:rFonts w:hint="eastAsia"/>
              </w:rPr>
              <w:t>数</w:t>
            </w:r>
          </w:p>
        </w:tc>
        <w:tc>
          <w:tcPr>
            <w:tcW w:w="7172" w:type="dxa"/>
            <w:gridSpan w:val="5"/>
            <w:tcBorders>
              <w:top w:val="single" w:sz="4" w:space="0" w:color="auto"/>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除</w:t>
            </w:r>
            <w:proofErr w:type="gramStart"/>
            <w:r w:rsidRPr="00F83B05">
              <w:rPr>
                <w:rFonts w:hint="eastAsia"/>
              </w:rPr>
              <w:t>税预算</w:t>
            </w:r>
            <w:proofErr w:type="gramEnd"/>
            <w:r w:rsidRPr="00F83B05">
              <w:rPr>
                <w:rFonts w:hint="eastAsia"/>
              </w:rPr>
              <w:t>价</w:t>
            </w:r>
          </w:p>
        </w:tc>
      </w:tr>
      <w:tr w:rsidR="009A46AD" w:rsidTr="00A553A5">
        <w:trPr>
          <w:trHeight w:val="510"/>
          <w:jc w:val="center"/>
        </w:trPr>
        <w:tc>
          <w:tcPr>
            <w:tcW w:w="1967"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w:t>
            </w:r>
            <w:r w:rsidRPr="00F83B05">
              <w:rPr>
                <w:rFonts w:hint="eastAsia"/>
              </w:rPr>
              <w:t xml:space="preserve"> </w:t>
            </w:r>
            <w:r w:rsidRPr="00F83B05">
              <w:rPr>
                <w:rFonts w:hint="eastAsia"/>
              </w:rPr>
              <w:t>率（</w:t>
            </w:r>
            <w:r w:rsidRPr="00F83B05">
              <w:rPr>
                <w:rFonts w:hint="eastAsia"/>
              </w:rPr>
              <w:t>%</w:t>
            </w:r>
            <w:r w:rsidRPr="00F83B05">
              <w:rPr>
                <w:rFonts w:hint="eastAsia"/>
              </w:rPr>
              <w:t>）</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6.10</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5.81</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6.47</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5.77</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4.92</w:t>
            </w:r>
          </w:p>
        </w:tc>
      </w:tr>
      <w:tr w:rsidR="009A46AD" w:rsidTr="00A553A5">
        <w:trPr>
          <w:trHeight w:val="510"/>
          <w:jc w:val="center"/>
        </w:trPr>
        <w:tc>
          <w:tcPr>
            <w:tcW w:w="353" w:type="dxa"/>
            <w:vMerge w:val="restart"/>
            <w:tcBorders>
              <w:top w:val="nil"/>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r w:rsidRPr="00F83B05">
              <w:rPr>
                <w:rFonts w:hint="eastAsia"/>
              </w:rPr>
              <w:t>环境保护</w:t>
            </w:r>
          </w:p>
        </w:tc>
        <w:tc>
          <w:tcPr>
            <w:tcW w:w="359"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1.05</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1.00</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0.96</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0.92</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1.25</w:t>
            </w:r>
          </w:p>
        </w:tc>
      </w:tr>
      <w:tr w:rsidR="009A46AD" w:rsidTr="00A553A5">
        <w:trPr>
          <w:trHeight w:val="510"/>
          <w:jc w:val="center"/>
        </w:trPr>
        <w:tc>
          <w:tcPr>
            <w:tcW w:w="1967" w:type="dxa"/>
            <w:vMerge/>
            <w:tcBorders>
              <w:top w:val="nil"/>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文明施工</w:t>
            </w:r>
          </w:p>
        </w:tc>
        <w:tc>
          <w:tcPr>
            <w:tcW w:w="359"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0.83</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0.76</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0.94</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0.80</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0.59</w:t>
            </w:r>
          </w:p>
        </w:tc>
      </w:tr>
      <w:tr w:rsidR="009A46AD" w:rsidTr="00A553A5">
        <w:trPr>
          <w:trHeight w:val="510"/>
          <w:jc w:val="center"/>
        </w:trPr>
        <w:tc>
          <w:tcPr>
            <w:tcW w:w="1967" w:type="dxa"/>
            <w:vMerge/>
            <w:tcBorders>
              <w:top w:val="nil"/>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安全施工</w:t>
            </w:r>
          </w:p>
        </w:tc>
        <w:tc>
          <w:tcPr>
            <w:tcW w:w="359"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1.90</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1.88</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1.99</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1.93</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1.53</w:t>
            </w:r>
          </w:p>
        </w:tc>
      </w:tr>
      <w:tr w:rsidR="009A46AD" w:rsidTr="00A553A5">
        <w:trPr>
          <w:trHeight w:val="510"/>
          <w:jc w:val="center"/>
        </w:trPr>
        <w:tc>
          <w:tcPr>
            <w:tcW w:w="1967" w:type="dxa"/>
            <w:vMerge/>
            <w:tcBorders>
              <w:top w:val="nil"/>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临时设施</w:t>
            </w:r>
          </w:p>
        </w:tc>
        <w:tc>
          <w:tcPr>
            <w:tcW w:w="359"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2.32</w:t>
            </w:r>
          </w:p>
        </w:tc>
        <w:tc>
          <w:tcPr>
            <w:tcW w:w="143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2.17</w:t>
            </w:r>
          </w:p>
        </w:tc>
        <w:tc>
          <w:tcPr>
            <w:tcW w:w="161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2.58</w:t>
            </w:r>
          </w:p>
        </w:tc>
        <w:tc>
          <w:tcPr>
            <w:tcW w:w="1434"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2.12</w:t>
            </w:r>
          </w:p>
        </w:tc>
        <w:tc>
          <w:tcPr>
            <w:tcW w:w="1255" w:type="dxa"/>
            <w:tcBorders>
              <w:top w:val="nil"/>
              <w:left w:val="nil"/>
              <w:bottom w:val="single" w:sz="4" w:space="0" w:color="auto"/>
              <w:right w:val="single" w:sz="4" w:space="0" w:color="auto"/>
            </w:tcBorders>
            <w:vAlign w:val="center"/>
            <w:hideMark/>
          </w:tcPr>
          <w:p w:rsidR="009A46AD" w:rsidRPr="00F83B05" w:rsidRDefault="009A46AD" w:rsidP="00A553A5">
            <w:pPr>
              <w:spacing w:line="345" w:lineRule="atLeast"/>
              <w:jc w:val="center"/>
            </w:pPr>
            <w:r w:rsidRPr="00F83B05">
              <w:rPr>
                <w:rFonts w:hint="eastAsia"/>
              </w:rPr>
              <w:t>1.55</w:t>
            </w:r>
          </w:p>
        </w:tc>
      </w:tr>
    </w:tbl>
    <w:p w:rsidR="009A46AD" w:rsidRDefault="009A46AD" w:rsidP="009A46AD">
      <w:pPr>
        <w:spacing w:line="360" w:lineRule="auto"/>
        <w:rPr>
          <w:rFonts w:ascii="宋体" w:hint="eastAsia"/>
          <w:spacing w:val="6"/>
          <w:sz w:val="24"/>
        </w:rPr>
      </w:pPr>
    </w:p>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98"/>
        <w:gridCol w:w="1625"/>
        <w:gridCol w:w="722"/>
        <w:gridCol w:w="2143"/>
        <w:gridCol w:w="2843"/>
      </w:tblGrid>
      <w:tr w:rsidR="009A46AD" w:rsidTr="00A553A5">
        <w:trPr>
          <w:trHeight w:val="567"/>
          <w:jc w:val="center"/>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28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w:t>
            </w:r>
            <w:r w:rsidRPr="00F83B05">
              <w:rPr>
                <w:rFonts w:hint="eastAsia"/>
              </w:rPr>
              <w:lastRenderedPageBreak/>
              <w:t>基数</w:t>
            </w:r>
          </w:p>
        </w:tc>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lastRenderedPageBreak/>
              <w:t>企业管理费率（</w:t>
            </w:r>
            <w:r w:rsidRPr="00F83B05">
              <w:rPr>
                <w:rFonts w:hint="eastAsia"/>
              </w:rPr>
              <w:t>%</w:t>
            </w:r>
            <w:r w:rsidRPr="00F83B05">
              <w:rPr>
                <w:rFonts w:hint="eastAsia"/>
              </w:rPr>
              <w:t>）</w:t>
            </w:r>
          </w:p>
        </w:tc>
        <w:tc>
          <w:tcPr>
            <w:tcW w:w="28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w:t>
            </w:r>
          </w:p>
        </w:tc>
      </w:tr>
      <w:tr w:rsidR="009A46AD" w:rsidTr="00A553A5">
        <w:trPr>
          <w:trHeight w:val="567"/>
          <w:jc w:val="center"/>
        </w:trPr>
        <w:tc>
          <w:tcPr>
            <w:tcW w:w="694"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4445"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8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tabs>
                <w:tab w:val="right" w:leader="dot" w:pos="8931"/>
              </w:tabs>
              <w:spacing w:line="345" w:lineRule="atLeast"/>
              <w:jc w:val="center"/>
            </w:pPr>
            <w:r w:rsidRPr="00F83B05">
              <w:rPr>
                <w:rFonts w:hint="eastAsia"/>
              </w:rPr>
              <w:t>现场管理费率（</w:t>
            </w:r>
            <w:r w:rsidRPr="00F83B05">
              <w:rPr>
                <w:rFonts w:hint="eastAsia"/>
              </w:rPr>
              <w:t>%</w:t>
            </w:r>
            <w:r w:rsidRPr="00F83B05">
              <w:rPr>
                <w:rFonts w:hint="eastAsia"/>
              </w:rPr>
              <w:t>）</w:t>
            </w:r>
          </w:p>
        </w:tc>
      </w:tr>
      <w:tr w:rsidR="009A46AD" w:rsidTr="00A553A5">
        <w:trPr>
          <w:trHeight w:val="567"/>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lastRenderedPageBreak/>
              <w:t>1</w:t>
            </w:r>
          </w:p>
        </w:tc>
        <w:tc>
          <w:tcPr>
            <w:tcW w:w="1197"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土建工程</w:t>
            </w:r>
          </w:p>
        </w:tc>
        <w:tc>
          <w:tcPr>
            <w:tcW w:w="16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地上工程</w:t>
            </w:r>
          </w:p>
        </w:tc>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除</w:t>
            </w:r>
            <w:proofErr w:type="gramStart"/>
            <w:r w:rsidRPr="00F83B05">
              <w:rPr>
                <w:rFonts w:hint="eastAsia"/>
              </w:rPr>
              <w:t>税预算</w:t>
            </w:r>
            <w:proofErr w:type="gramEnd"/>
            <w:r w:rsidRPr="00F83B05">
              <w:rPr>
                <w:rFonts w:hint="eastAsia"/>
              </w:rPr>
              <w:t>价</w:t>
            </w:r>
          </w:p>
        </w:tc>
        <w:tc>
          <w:tcPr>
            <w:tcW w:w="21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12.89</w:t>
            </w:r>
          </w:p>
        </w:tc>
        <w:tc>
          <w:tcPr>
            <w:tcW w:w="28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5.14</w:t>
            </w:r>
          </w:p>
        </w:tc>
      </w:tr>
      <w:tr w:rsidR="009A46AD" w:rsidTr="00A553A5">
        <w:trPr>
          <w:trHeight w:val="567"/>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w:t>
            </w: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16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地下工程</w:t>
            </w: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21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12.83</w:t>
            </w:r>
          </w:p>
        </w:tc>
        <w:tc>
          <w:tcPr>
            <w:tcW w:w="28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5.13</w:t>
            </w:r>
          </w:p>
        </w:tc>
      </w:tr>
      <w:tr w:rsidR="009A46AD" w:rsidTr="00A553A5">
        <w:trPr>
          <w:trHeight w:val="567"/>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w:t>
            </w:r>
          </w:p>
        </w:tc>
        <w:tc>
          <w:tcPr>
            <w:tcW w:w="2821" w:type="dxa"/>
            <w:gridSpan w:val="2"/>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轨道工程</w:t>
            </w: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21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6.22</w:t>
            </w:r>
          </w:p>
        </w:tc>
        <w:tc>
          <w:tcPr>
            <w:tcW w:w="284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2.45</w:t>
            </w:r>
          </w:p>
        </w:tc>
      </w:tr>
    </w:tbl>
    <w:p w:rsidR="009A46AD" w:rsidRDefault="009A46AD" w:rsidP="009A46AD">
      <w:pPr>
        <w:spacing w:before="240" w:line="360" w:lineRule="auto"/>
        <w:jc w:val="center"/>
        <w:rPr>
          <w:rFonts w:ascii="黑体" w:eastAsia="黑体" w:hAnsi="黑体" w:hint="eastAsia"/>
          <w:sz w:val="24"/>
          <w:szCs w:val="32"/>
        </w:rPr>
      </w:pPr>
    </w:p>
    <w:p w:rsidR="009A46AD" w:rsidRPr="006B1497" w:rsidRDefault="009A46AD" w:rsidP="009A46AD">
      <w:pPr>
        <w:spacing w:before="240" w:line="360" w:lineRule="auto"/>
        <w:jc w:val="center"/>
        <w:rPr>
          <w:rFonts w:ascii="黑体" w:eastAsia="黑体" w:hAnsi="黑体"/>
          <w:sz w:val="24"/>
          <w:szCs w:val="32"/>
        </w:rPr>
      </w:pPr>
      <w:r w:rsidRPr="006B1497">
        <w:rPr>
          <w:rFonts w:ascii="黑体" w:eastAsia="黑体" w:hAnsi="黑体" w:hint="eastAsia"/>
          <w:sz w:val="24"/>
          <w:szCs w:val="32"/>
        </w:rPr>
        <w:t>02 供电、通信信号、智能机电工程</w:t>
      </w:r>
    </w:p>
    <w:p w:rsidR="009A46AD" w:rsidRPr="006B1497" w:rsidRDefault="009A46AD" w:rsidP="009A46AD">
      <w:pPr>
        <w:spacing w:line="360" w:lineRule="auto"/>
        <w:rPr>
          <w:rFonts w:ascii="宋体"/>
          <w:spacing w:val="6"/>
          <w:sz w:val="24"/>
        </w:rPr>
      </w:pPr>
      <w:r w:rsidRPr="006B1497">
        <w:rPr>
          <w:rFonts w:ascii="宋体" w:hint="eastAsia"/>
          <w:spacing w:val="6"/>
          <w:sz w:val="24"/>
        </w:rPr>
        <w:t>1.安全文明施工费</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459"/>
        <w:gridCol w:w="748"/>
        <w:gridCol w:w="1850"/>
        <w:gridCol w:w="1524"/>
        <w:gridCol w:w="2774"/>
      </w:tblGrid>
      <w:tr w:rsidR="009A46AD" w:rsidTr="00A553A5">
        <w:trPr>
          <w:trHeight w:val="925"/>
          <w:jc w:val="center"/>
        </w:trPr>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 xml:space="preserve">通信、信号工程　</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供电工程</w:t>
            </w:r>
          </w:p>
        </w:tc>
        <w:tc>
          <w:tcPr>
            <w:tcW w:w="277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智能与控制系统、机电工程</w:t>
            </w:r>
          </w:p>
        </w:tc>
      </w:tr>
      <w:tr w:rsidR="009A46AD" w:rsidTr="00A553A5">
        <w:trPr>
          <w:trHeight w:val="440"/>
          <w:jc w:val="center"/>
        </w:trPr>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w:t>
            </w:r>
            <w:r w:rsidRPr="00F83B05">
              <w:rPr>
                <w:rFonts w:hint="eastAsia"/>
              </w:rPr>
              <w:t xml:space="preserve"> </w:t>
            </w:r>
            <w:r w:rsidRPr="00F83B05">
              <w:rPr>
                <w:rFonts w:hint="eastAsia"/>
              </w:rPr>
              <w:t>费</w:t>
            </w:r>
            <w:r w:rsidRPr="00F83B05">
              <w:rPr>
                <w:rFonts w:hint="eastAsia"/>
              </w:rPr>
              <w:t xml:space="preserve"> </w:t>
            </w:r>
            <w:r w:rsidRPr="00F83B05">
              <w:rPr>
                <w:rFonts w:hint="eastAsia"/>
              </w:rPr>
              <w:t>基</w:t>
            </w:r>
            <w:r w:rsidRPr="00F83B05">
              <w:rPr>
                <w:rFonts w:hint="eastAsia"/>
              </w:rPr>
              <w:t xml:space="preserve"> </w:t>
            </w:r>
            <w:r w:rsidRPr="00F83B05">
              <w:rPr>
                <w:rFonts w:hint="eastAsia"/>
              </w:rPr>
              <w:t>数</w:t>
            </w:r>
          </w:p>
        </w:tc>
        <w:tc>
          <w:tcPr>
            <w:tcW w:w="6148"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r>
      <w:tr w:rsidR="009A46AD" w:rsidTr="00A553A5">
        <w:trPr>
          <w:trHeight w:val="435"/>
          <w:jc w:val="center"/>
        </w:trPr>
        <w:tc>
          <w:tcPr>
            <w:tcW w:w="3002" w:type="dxa"/>
            <w:gridSpan w:val="3"/>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费</w:t>
            </w:r>
            <w:r w:rsidRPr="00F83B05">
              <w:rPr>
                <w:rFonts w:hint="eastAsia"/>
              </w:rPr>
              <w:t xml:space="preserve"> </w:t>
            </w:r>
            <w:r w:rsidRPr="00F83B05">
              <w:rPr>
                <w:rFonts w:hint="eastAsia"/>
              </w:rPr>
              <w:t>率（</w:t>
            </w:r>
            <w:r w:rsidRPr="00F83B05">
              <w:rPr>
                <w:rFonts w:hint="eastAsia"/>
              </w:rPr>
              <w:t>%</w:t>
            </w:r>
            <w:r w:rsidRPr="00F83B05">
              <w:rPr>
                <w:rFonts w:hint="eastAsia"/>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22.61</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22.96</w:t>
            </w:r>
          </w:p>
        </w:tc>
        <w:tc>
          <w:tcPr>
            <w:tcW w:w="2774" w:type="dxa"/>
            <w:tcBorders>
              <w:top w:val="single" w:sz="4" w:space="0" w:color="auto"/>
              <w:left w:val="single" w:sz="4" w:space="0" w:color="auto"/>
              <w:bottom w:val="single" w:sz="4" w:space="0" w:color="auto"/>
              <w:right w:val="single" w:sz="4" w:space="0" w:color="auto"/>
            </w:tcBorders>
            <w:hideMark/>
          </w:tcPr>
          <w:p w:rsidR="009A46AD" w:rsidRPr="00F83B05" w:rsidRDefault="009A46AD" w:rsidP="00A553A5">
            <w:pPr>
              <w:jc w:val="center"/>
            </w:pPr>
            <w:r w:rsidRPr="00F83B05">
              <w:rPr>
                <w:rFonts w:hint="eastAsia"/>
              </w:rPr>
              <w:t>22.74</w:t>
            </w:r>
          </w:p>
        </w:tc>
      </w:tr>
      <w:tr w:rsidR="009A46AD" w:rsidTr="00A553A5">
        <w:trPr>
          <w:trHeight w:val="435"/>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w:t>
            </w:r>
          </w:p>
        </w:tc>
        <w:tc>
          <w:tcPr>
            <w:tcW w:w="145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环境保护</w:t>
            </w:r>
          </w:p>
        </w:tc>
        <w:tc>
          <w:tcPr>
            <w:tcW w:w="74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3.11</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3.02</w:t>
            </w:r>
          </w:p>
        </w:tc>
        <w:tc>
          <w:tcPr>
            <w:tcW w:w="2774" w:type="dxa"/>
            <w:tcBorders>
              <w:top w:val="single" w:sz="4" w:space="0" w:color="auto"/>
              <w:left w:val="single" w:sz="4" w:space="0" w:color="auto"/>
              <w:bottom w:val="single" w:sz="4" w:space="0" w:color="auto"/>
              <w:right w:val="single" w:sz="4" w:space="0" w:color="auto"/>
            </w:tcBorders>
            <w:hideMark/>
          </w:tcPr>
          <w:p w:rsidR="009A46AD" w:rsidRPr="00F83B05" w:rsidRDefault="009A46AD" w:rsidP="00A553A5">
            <w:pPr>
              <w:jc w:val="center"/>
            </w:pPr>
            <w:r w:rsidRPr="00F83B05">
              <w:rPr>
                <w:rFonts w:hint="eastAsia"/>
              </w:rPr>
              <w:t>3.18</w:t>
            </w:r>
          </w:p>
        </w:tc>
      </w:tr>
      <w:tr w:rsidR="009A46AD" w:rsidTr="00A553A5">
        <w:trPr>
          <w:trHeight w:val="435"/>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5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文明施工</w:t>
            </w:r>
          </w:p>
        </w:tc>
        <w:tc>
          <w:tcPr>
            <w:tcW w:w="74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7.23</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7.02</w:t>
            </w:r>
          </w:p>
        </w:tc>
        <w:tc>
          <w:tcPr>
            <w:tcW w:w="2774" w:type="dxa"/>
            <w:tcBorders>
              <w:top w:val="single" w:sz="4" w:space="0" w:color="auto"/>
              <w:left w:val="single" w:sz="4" w:space="0" w:color="auto"/>
              <w:bottom w:val="single" w:sz="4" w:space="0" w:color="auto"/>
              <w:right w:val="single" w:sz="4" w:space="0" w:color="auto"/>
            </w:tcBorders>
            <w:hideMark/>
          </w:tcPr>
          <w:p w:rsidR="009A46AD" w:rsidRPr="00F83B05" w:rsidRDefault="009A46AD" w:rsidP="00A553A5">
            <w:pPr>
              <w:jc w:val="center"/>
            </w:pPr>
            <w:r w:rsidRPr="00F83B05">
              <w:rPr>
                <w:rFonts w:hint="eastAsia"/>
              </w:rPr>
              <w:t>6.97</w:t>
            </w:r>
          </w:p>
        </w:tc>
      </w:tr>
      <w:tr w:rsidR="009A46AD" w:rsidTr="00A553A5">
        <w:trPr>
          <w:trHeight w:val="435"/>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5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安全施工</w:t>
            </w:r>
          </w:p>
        </w:tc>
        <w:tc>
          <w:tcPr>
            <w:tcW w:w="74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7.51</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7.30</w:t>
            </w:r>
          </w:p>
        </w:tc>
        <w:tc>
          <w:tcPr>
            <w:tcW w:w="2774" w:type="dxa"/>
            <w:tcBorders>
              <w:top w:val="single" w:sz="4" w:space="0" w:color="auto"/>
              <w:left w:val="single" w:sz="4" w:space="0" w:color="auto"/>
              <w:bottom w:val="single" w:sz="4" w:space="0" w:color="auto"/>
              <w:right w:val="single" w:sz="4" w:space="0" w:color="auto"/>
            </w:tcBorders>
            <w:hideMark/>
          </w:tcPr>
          <w:p w:rsidR="009A46AD" w:rsidRPr="00F83B05" w:rsidRDefault="009A46AD" w:rsidP="00A553A5">
            <w:pPr>
              <w:jc w:val="center"/>
            </w:pPr>
            <w:r w:rsidRPr="00F83B05">
              <w:rPr>
                <w:rFonts w:hint="eastAsia"/>
              </w:rPr>
              <w:t>7.78</w:t>
            </w:r>
          </w:p>
        </w:tc>
      </w:tr>
      <w:tr w:rsidR="009A46AD" w:rsidTr="00A553A5">
        <w:trPr>
          <w:trHeight w:val="435"/>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5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临时设施</w:t>
            </w:r>
          </w:p>
        </w:tc>
        <w:tc>
          <w:tcPr>
            <w:tcW w:w="748"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w:t>
            </w:r>
          </w:p>
        </w:tc>
        <w:tc>
          <w:tcPr>
            <w:tcW w:w="185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4.76</w:t>
            </w:r>
          </w:p>
        </w:tc>
        <w:tc>
          <w:tcPr>
            <w:tcW w:w="152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4.62</w:t>
            </w:r>
          </w:p>
        </w:tc>
        <w:tc>
          <w:tcPr>
            <w:tcW w:w="2774" w:type="dxa"/>
            <w:tcBorders>
              <w:top w:val="single" w:sz="4" w:space="0" w:color="auto"/>
              <w:left w:val="single" w:sz="4" w:space="0" w:color="auto"/>
              <w:bottom w:val="single" w:sz="4" w:space="0" w:color="auto"/>
              <w:right w:val="single" w:sz="4" w:space="0" w:color="auto"/>
            </w:tcBorders>
            <w:hideMark/>
          </w:tcPr>
          <w:p w:rsidR="009A46AD" w:rsidRPr="00F83B05" w:rsidRDefault="009A46AD" w:rsidP="00A553A5">
            <w:pPr>
              <w:jc w:val="center"/>
            </w:pPr>
            <w:r w:rsidRPr="00F83B05">
              <w:rPr>
                <w:rFonts w:hint="eastAsia"/>
              </w:rPr>
              <w:t>4.81</w:t>
            </w:r>
          </w:p>
        </w:tc>
      </w:tr>
    </w:tbl>
    <w:p w:rsidR="009A46AD" w:rsidRPr="006B1497" w:rsidRDefault="009A46AD" w:rsidP="009A46AD">
      <w:pPr>
        <w:spacing w:line="360" w:lineRule="auto"/>
        <w:rPr>
          <w:rFonts w:ascii="宋体"/>
          <w:spacing w:val="6"/>
          <w:sz w:val="24"/>
        </w:rPr>
      </w:pPr>
      <w:r w:rsidRPr="006B1497">
        <w:rPr>
          <w:rFonts w:ascii="宋体" w:hint="eastAsia"/>
          <w:spacing w:val="6"/>
          <w:sz w:val="24"/>
        </w:rPr>
        <w:t>2.企业管理费</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478"/>
        <w:gridCol w:w="1782"/>
        <w:gridCol w:w="851"/>
        <w:gridCol w:w="2410"/>
        <w:gridCol w:w="2091"/>
      </w:tblGrid>
      <w:tr w:rsidR="009A46AD" w:rsidTr="00A553A5">
        <w:trPr>
          <w:trHeight w:val="510"/>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计费基数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企业管理费率（</w:t>
            </w:r>
            <w:r w:rsidRPr="00F83B05">
              <w:rPr>
                <w:rFonts w:hint="eastAsia"/>
              </w:rPr>
              <w:t>%</w:t>
            </w:r>
            <w:r w:rsidRPr="00F83B05">
              <w:rPr>
                <w:rFonts w:hint="eastAsia"/>
              </w:rP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其中</w:t>
            </w:r>
            <w:r w:rsidRPr="00F83B05">
              <w:rPr>
                <w:rFonts w:hint="eastAsia"/>
              </w:rPr>
              <w:t xml:space="preserve"> </w:t>
            </w:r>
          </w:p>
        </w:tc>
      </w:tr>
      <w:tr w:rsidR="009A46AD" w:rsidTr="00A553A5">
        <w:trPr>
          <w:trHeight w:val="51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tabs>
                <w:tab w:val="right" w:leader="dot" w:pos="8931"/>
              </w:tabs>
              <w:spacing w:line="345" w:lineRule="atLeast"/>
              <w:jc w:val="center"/>
            </w:pPr>
            <w:r w:rsidRPr="00F83B05">
              <w:rPr>
                <w:rFonts w:hint="eastAsia"/>
              </w:rPr>
              <w:t>现场管理费率（</w:t>
            </w:r>
            <w:r w:rsidRPr="00F83B05">
              <w:rPr>
                <w:rFonts w:hint="eastAsia"/>
              </w:rPr>
              <w:t>%</w:t>
            </w:r>
            <w:r w:rsidRPr="00F83B05">
              <w:rPr>
                <w:rFonts w:hint="eastAsia"/>
              </w:rPr>
              <w:t>）</w:t>
            </w:r>
          </w:p>
        </w:tc>
      </w:tr>
      <w:tr w:rsidR="009A46AD" w:rsidTr="00A553A5">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通信</w:t>
            </w:r>
            <w:r w:rsidRPr="00F83B05">
              <w:rPr>
                <w:rFonts w:hint="eastAsia"/>
              </w:rPr>
              <w:t xml:space="preserve"> </w:t>
            </w:r>
            <w:r w:rsidRPr="00F83B05">
              <w:rPr>
                <w:rFonts w:hint="eastAsia"/>
              </w:rPr>
              <w:t>信号工程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人工费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63.21</w:t>
            </w: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27.66</w:t>
            </w:r>
          </w:p>
        </w:tc>
      </w:tr>
      <w:tr w:rsidR="009A46AD" w:rsidTr="00A553A5">
        <w:trPr>
          <w:trHeight w:val="510"/>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供电工程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241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66.95</w:t>
            </w: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29.21</w:t>
            </w:r>
          </w:p>
        </w:tc>
      </w:tr>
      <w:tr w:rsidR="009A46AD" w:rsidTr="00A553A5">
        <w:trPr>
          <w:trHeight w:val="510"/>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3</w:t>
            </w:r>
          </w:p>
        </w:tc>
        <w:tc>
          <w:tcPr>
            <w:tcW w:w="1478" w:type="dxa"/>
            <w:vMerge w:val="restart"/>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智能与控制系统机电工程</w:t>
            </w:r>
          </w:p>
        </w:tc>
        <w:tc>
          <w:tcPr>
            <w:tcW w:w="17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r w:rsidRPr="00F83B05">
              <w:rPr>
                <w:rFonts w:hint="eastAsia"/>
              </w:rPr>
              <w:t>智能与控制系统工程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tc>
        <w:tc>
          <w:tcPr>
            <w:tcW w:w="241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65.19</w:t>
            </w: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27.87</w:t>
            </w:r>
          </w:p>
        </w:tc>
      </w:tr>
      <w:tr w:rsidR="009A46AD" w:rsidTr="00A553A5">
        <w:trPr>
          <w:trHeight w:val="51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178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tabs>
                <w:tab w:val="right" w:leader="dot" w:pos="8931"/>
              </w:tabs>
              <w:spacing w:line="149" w:lineRule="atLeast"/>
              <w:jc w:val="center"/>
            </w:pPr>
            <w:r w:rsidRPr="00F83B05">
              <w:rPr>
                <w:rFonts w:hint="eastAsia"/>
              </w:rPr>
              <w:t>机电工程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tabs>
                <w:tab w:val="right" w:leader="dot" w:pos="8931"/>
              </w:tabs>
              <w:spacing w:line="149" w:lineRule="atLeast"/>
              <w:jc w:val="center"/>
            </w:pPr>
            <w:r w:rsidRPr="00F83B05">
              <w:rPr>
                <w:rFonts w:hint="eastAsia"/>
              </w:rPr>
              <w:t>66.30</w:t>
            </w:r>
          </w:p>
        </w:tc>
        <w:tc>
          <w:tcPr>
            <w:tcW w:w="2091"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tabs>
                <w:tab w:val="right" w:leader="dot" w:pos="8931"/>
              </w:tabs>
              <w:spacing w:line="149" w:lineRule="atLeast"/>
              <w:jc w:val="center"/>
            </w:pPr>
            <w:r w:rsidRPr="00F83B05">
              <w:rPr>
                <w:rFonts w:hint="eastAsia"/>
              </w:rPr>
              <w:t>28.43</w:t>
            </w:r>
          </w:p>
        </w:tc>
      </w:tr>
    </w:tbl>
    <w:p w:rsidR="009A46AD" w:rsidRPr="006B1497" w:rsidRDefault="009A46AD" w:rsidP="009A46AD">
      <w:pPr>
        <w:spacing w:before="240" w:line="360" w:lineRule="auto"/>
        <w:rPr>
          <w:rFonts w:ascii="黑体" w:eastAsia="黑体" w:hAnsi="黑体"/>
          <w:sz w:val="28"/>
          <w:szCs w:val="32"/>
        </w:rPr>
      </w:pPr>
      <w:r w:rsidRPr="006B1497">
        <w:rPr>
          <w:rFonts w:ascii="黑体" w:eastAsia="黑体" w:hAnsi="黑体" w:hint="eastAsia"/>
          <w:sz w:val="28"/>
          <w:szCs w:val="32"/>
        </w:rPr>
        <w:t>五、税金</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789"/>
        <w:gridCol w:w="4129"/>
        <w:gridCol w:w="2004"/>
      </w:tblGrid>
      <w:tr w:rsidR="009A46AD" w:rsidTr="00A553A5">
        <w:trPr>
          <w:trHeight w:val="510"/>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序号</w:t>
            </w:r>
          </w:p>
        </w:tc>
        <w:tc>
          <w:tcPr>
            <w:tcW w:w="178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项目名称</w:t>
            </w:r>
          </w:p>
        </w:tc>
        <w:tc>
          <w:tcPr>
            <w:tcW w:w="412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计</w:t>
            </w:r>
            <w:r w:rsidRPr="00F83B05">
              <w:rPr>
                <w:rFonts w:hint="eastAsia"/>
              </w:rPr>
              <w:t xml:space="preserve"> </w:t>
            </w:r>
            <w:r w:rsidRPr="00F83B05">
              <w:rPr>
                <w:rFonts w:hint="eastAsia"/>
              </w:rPr>
              <w:t>费</w:t>
            </w:r>
            <w:r w:rsidRPr="00F83B05">
              <w:rPr>
                <w:rFonts w:hint="eastAsia"/>
              </w:rPr>
              <w:t xml:space="preserve"> </w:t>
            </w:r>
            <w:r w:rsidRPr="00F83B05">
              <w:rPr>
                <w:rFonts w:hint="eastAsia"/>
              </w:rPr>
              <w:t>基</w:t>
            </w:r>
            <w:r w:rsidRPr="00F83B05">
              <w:rPr>
                <w:rFonts w:hint="eastAsia"/>
              </w:rPr>
              <w:t xml:space="preserve"> </w:t>
            </w:r>
            <w:r w:rsidRPr="00F83B05">
              <w:rPr>
                <w:rFonts w:hint="eastAsia"/>
              </w:rPr>
              <w:t>数</w:t>
            </w:r>
          </w:p>
        </w:tc>
        <w:tc>
          <w:tcPr>
            <w:tcW w:w="200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税率</w:t>
            </w:r>
            <w:r>
              <w:rPr>
                <w:rFonts w:hint="eastAsia"/>
              </w:rPr>
              <w:t>（</w:t>
            </w:r>
            <w:r w:rsidRPr="00F83B05">
              <w:rPr>
                <w:rFonts w:hint="eastAsia"/>
              </w:rPr>
              <w:t xml:space="preserve"> % </w:t>
            </w:r>
            <w:r>
              <w:rPr>
                <w:rFonts w:hint="eastAsia"/>
              </w:rPr>
              <w:t>）</w:t>
            </w:r>
          </w:p>
        </w:tc>
      </w:tr>
      <w:tr w:rsidR="009A46AD" w:rsidTr="00A553A5">
        <w:trPr>
          <w:trHeight w:val="510"/>
          <w:jc w:val="center"/>
        </w:trPr>
        <w:tc>
          <w:tcPr>
            <w:tcW w:w="1352"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w:t>
            </w:r>
          </w:p>
        </w:tc>
        <w:tc>
          <w:tcPr>
            <w:tcW w:w="178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税金</w:t>
            </w:r>
          </w:p>
        </w:tc>
        <w:tc>
          <w:tcPr>
            <w:tcW w:w="4129"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税前工程造价</w:t>
            </w:r>
          </w:p>
        </w:tc>
        <w:tc>
          <w:tcPr>
            <w:tcW w:w="2004" w:type="dxa"/>
            <w:tcBorders>
              <w:top w:val="single" w:sz="4" w:space="0" w:color="auto"/>
              <w:left w:val="single" w:sz="4" w:space="0" w:color="auto"/>
              <w:bottom w:val="single" w:sz="4" w:space="0" w:color="auto"/>
              <w:right w:val="single" w:sz="4" w:space="0" w:color="auto"/>
            </w:tcBorders>
            <w:vAlign w:val="center"/>
            <w:hideMark/>
          </w:tcPr>
          <w:p w:rsidR="009A46AD" w:rsidRPr="00F83B05" w:rsidRDefault="009A46AD" w:rsidP="00A553A5">
            <w:pPr>
              <w:jc w:val="center"/>
            </w:pPr>
            <w:r w:rsidRPr="00F83B05">
              <w:rPr>
                <w:rFonts w:hint="eastAsia"/>
              </w:rPr>
              <w:t>11.00</w:t>
            </w:r>
          </w:p>
        </w:tc>
      </w:tr>
    </w:tbl>
    <w:p w:rsidR="009A46AD" w:rsidRPr="00914C3C" w:rsidRDefault="009A46AD" w:rsidP="009A46AD">
      <w:pPr>
        <w:spacing w:line="276" w:lineRule="auto"/>
        <w:rPr>
          <w:rFonts w:ascii="宋体" w:hAnsi="宋体"/>
        </w:rPr>
      </w:pPr>
      <w:r w:rsidRPr="00914C3C">
        <w:rPr>
          <w:rFonts w:ascii="宋体" w:hAnsi="宋体" w:hint="eastAsia"/>
        </w:rPr>
        <w:t>说明：1.税金适用2012年《北京市建设工程计价依据——预算定额》、2012年《北京市房</w:t>
      </w:r>
      <w:r w:rsidRPr="00914C3C">
        <w:rPr>
          <w:rFonts w:ascii="宋体" w:hAnsi="宋体" w:hint="eastAsia"/>
        </w:rPr>
        <w:lastRenderedPageBreak/>
        <w:t>屋修缮工程计价依据——预算定额》、2014年《北京市城市轨道交通运营改造工程计价依据——预算定额》的调整。</w:t>
      </w:r>
    </w:p>
    <w:p w:rsidR="009A46AD" w:rsidRPr="00914C3C" w:rsidRDefault="009A46AD" w:rsidP="009A46AD">
      <w:pPr>
        <w:spacing w:line="276" w:lineRule="auto"/>
        <w:rPr>
          <w:rFonts w:ascii="宋体" w:hAnsi="宋体"/>
        </w:rPr>
      </w:pPr>
      <w:r w:rsidRPr="00914C3C">
        <w:rPr>
          <w:rFonts w:ascii="宋体" w:hAnsi="宋体" w:hint="eastAsia"/>
        </w:rPr>
        <w:t>抄送：住房和城乡建设部办公厅，市发展改革委，市国资委，市规划</w:t>
      </w:r>
    </w:p>
    <w:p w:rsidR="009A46AD" w:rsidRPr="00914C3C" w:rsidRDefault="009A46AD" w:rsidP="009A46AD">
      <w:pPr>
        <w:spacing w:line="276" w:lineRule="auto"/>
        <w:rPr>
          <w:rFonts w:ascii="宋体" w:hAnsi="宋体"/>
        </w:rPr>
      </w:pPr>
      <w:r w:rsidRPr="00914C3C">
        <w:rPr>
          <w:rFonts w:ascii="宋体" w:hAnsi="宋体" w:hint="eastAsia"/>
        </w:rPr>
        <w:t>委，市审计局，市财政局，市商务局，市国税局，市地税局，</w:t>
      </w:r>
    </w:p>
    <w:p w:rsidR="009A46AD" w:rsidRPr="00914C3C" w:rsidRDefault="009A46AD" w:rsidP="009A46AD">
      <w:pPr>
        <w:spacing w:line="276" w:lineRule="auto"/>
        <w:rPr>
          <w:rFonts w:ascii="宋体" w:hAnsi="宋体"/>
        </w:rPr>
      </w:pPr>
      <w:r w:rsidRPr="00914C3C">
        <w:rPr>
          <w:rFonts w:ascii="宋体" w:hAnsi="宋体" w:hint="eastAsia"/>
        </w:rPr>
        <w:t>市统计局，市法院，市检察院，市人民银行，市文物局，市园</w:t>
      </w:r>
    </w:p>
    <w:p w:rsidR="009A46AD" w:rsidRDefault="009A46AD" w:rsidP="009A46AD">
      <w:pPr>
        <w:spacing w:line="276" w:lineRule="auto"/>
        <w:rPr>
          <w:rFonts w:ascii="宋体" w:hAnsi="宋体"/>
        </w:rPr>
      </w:pPr>
      <w:r w:rsidRPr="00914C3C">
        <w:rPr>
          <w:rFonts w:ascii="宋体" w:hAnsi="宋体" w:hint="eastAsia"/>
        </w:rPr>
        <w:t>林局。</w:t>
      </w:r>
    </w:p>
    <w:p w:rsidR="009A46AD" w:rsidRDefault="009A46AD" w:rsidP="009A46AD">
      <w:pPr>
        <w:spacing w:line="276" w:lineRule="auto"/>
        <w:rPr>
          <w:rFonts w:ascii="宋体" w:hAnsi="宋体"/>
        </w:rPr>
      </w:pPr>
    </w:p>
    <w:p w:rsidR="009A46AD" w:rsidRDefault="009A46AD" w:rsidP="009A46AD">
      <w:pPr>
        <w:spacing w:line="360" w:lineRule="auto"/>
        <w:jc w:val="right"/>
        <w:rPr>
          <w:rFonts w:ascii="宋体" w:hAnsi="宋体"/>
          <w:sz w:val="24"/>
        </w:rPr>
      </w:pPr>
    </w:p>
    <w:p w:rsidR="009A46AD" w:rsidRPr="009A46AD" w:rsidRDefault="009A46AD" w:rsidP="009A46AD">
      <w:pPr>
        <w:spacing w:line="360" w:lineRule="auto"/>
        <w:jc w:val="right"/>
        <w:rPr>
          <w:rFonts w:ascii="宋体" w:hAnsi="宋体" w:hint="eastAsia"/>
        </w:rPr>
      </w:pPr>
      <w:bookmarkStart w:id="4" w:name="_GoBack"/>
      <w:bookmarkEnd w:id="4"/>
      <w:r w:rsidRPr="00F83B05">
        <w:rPr>
          <w:rFonts w:ascii="宋体" w:hAnsi="宋体" w:hint="eastAsia"/>
          <w:sz w:val="24"/>
        </w:rPr>
        <w:t xml:space="preserve">北京市住房和城乡建设委员会办公室 </w:t>
      </w:r>
    </w:p>
    <w:p w:rsidR="007B32F7" w:rsidRDefault="009A46AD" w:rsidP="009A46AD">
      <w:pPr>
        <w:spacing w:line="360" w:lineRule="auto"/>
        <w:jc w:val="right"/>
      </w:pPr>
      <w:r w:rsidRPr="00F83B05">
        <w:rPr>
          <w:rFonts w:ascii="宋体" w:hAnsi="宋体" w:hint="eastAsia"/>
          <w:sz w:val="24"/>
        </w:rPr>
        <w:t>2016年4月6日印发</w:t>
      </w:r>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1．"/>
      <w:lvlJc w:val="left"/>
      <w:pPr>
        <w:ind w:left="419" w:hanging="419"/>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em w:val="no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5"/>
    <w:multiLevelType w:val="singleLevel"/>
    <w:tmpl w:val="00000005"/>
    <w:lvl w:ilvl="0">
      <w:start w:val="7"/>
      <w:numFmt w:val="chineseCounting"/>
      <w:suff w:val="nothing"/>
      <w:lvlText w:val="（%1）"/>
      <w:lvlJc w:val="left"/>
      <w:rPr>
        <w:rFonts w:cs="Times New Roman"/>
      </w:rPr>
    </w:lvl>
  </w:abstractNum>
  <w:abstractNum w:abstractNumId="2">
    <w:nsid w:val="03AC1B64"/>
    <w:multiLevelType w:val="multilevel"/>
    <w:tmpl w:val="03AC1B64"/>
    <w:lvl w:ilvl="0">
      <w:start w:val="1"/>
      <w:numFmt w:val="japaneseCounting"/>
      <w:lvlText w:val="%1、"/>
      <w:lvlJc w:val="left"/>
      <w:pPr>
        <w:ind w:left="720" w:hanging="7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5803987"/>
    <w:multiLevelType w:val="hybridMultilevel"/>
    <w:tmpl w:val="20748142"/>
    <w:lvl w:ilvl="0" w:tplc="5ECE6C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A3D6A9E"/>
    <w:multiLevelType w:val="hybridMultilevel"/>
    <w:tmpl w:val="F79A8F00"/>
    <w:lvl w:ilvl="0" w:tplc="54F830FC">
      <w:start w:val="1"/>
      <w:numFmt w:val="decimal"/>
      <w:lvlText w:val="%1、"/>
      <w:lvlJc w:val="left"/>
      <w:pPr>
        <w:tabs>
          <w:tab w:val="num" w:pos="1515"/>
        </w:tabs>
        <w:ind w:left="1515" w:hanging="795"/>
      </w:pPr>
      <w:rPr>
        <w:rFonts w:ascii="宋体" w:eastAsia="宋体" w:hAnsi="宋体"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16920F7"/>
    <w:multiLevelType w:val="hybridMultilevel"/>
    <w:tmpl w:val="1876BBBE"/>
    <w:lvl w:ilvl="0" w:tplc="6EFE77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B082ABD"/>
    <w:multiLevelType w:val="hybridMultilevel"/>
    <w:tmpl w:val="BD447F94"/>
    <w:lvl w:ilvl="0" w:tplc="5BDEA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D51887"/>
    <w:multiLevelType w:val="hybridMultilevel"/>
    <w:tmpl w:val="92F43BCC"/>
    <w:lvl w:ilvl="0" w:tplc="0002BD1C">
      <w:start w:val="1"/>
      <w:numFmt w:val="japaneseCounting"/>
      <w:lvlText w:val="%1、"/>
      <w:lvlJc w:val="left"/>
      <w:pPr>
        <w:ind w:left="2116" w:hanging="1380"/>
      </w:pPr>
      <w:rPr>
        <w:rFonts w:cs="Times New Roman" w:hint="default"/>
      </w:rPr>
    </w:lvl>
    <w:lvl w:ilvl="1" w:tplc="04090019">
      <w:start w:val="1"/>
      <w:numFmt w:val="lowerLetter"/>
      <w:lvlText w:val="%2)"/>
      <w:lvlJc w:val="left"/>
      <w:pPr>
        <w:ind w:left="1576" w:hanging="420"/>
      </w:pPr>
      <w:rPr>
        <w:rFonts w:cs="Times New Roman"/>
      </w:rPr>
    </w:lvl>
    <w:lvl w:ilvl="2" w:tplc="0409001B">
      <w:start w:val="1"/>
      <w:numFmt w:val="lowerRoman"/>
      <w:lvlText w:val="%3."/>
      <w:lvlJc w:val="right"/>
      <w:pPr>
        <w:ind w:left="1996" w:hanging="420"/>
      </w:pPr>
      <w:rPr>
        <w:rFonts w:cs="Times New Roman"/>
      </w:rPr>
    </w:lvl>
    <w:lvl w:ilvl="3" w:tplc="0409000F">
      <w:start w:val="1"/>
      <w:numFmt w:val="decimal"/>
      <w:lvlText w:val="%4."/>
      <w:lvlJc w:val="left"/>
      <w:pPr>
        <w:ind w:left="2416" w:hanging="420"/>
      </w:pPr>
      <w:rPr>
        <w:rFonts w:cs="Times New Roman"/>
      </w:rPr>
    </w:lvl>
    <w:lvl w:ilvl="4" w:tplc="04090019">
      <w:start w:val="1"/>
      <w:numFmt w:val="lowerLetter"/>
      <w:lvlText w:val="%5)"/>
      <w:lvlJc w:val="left"/>
      <w:pPr>
        <w:ind w:left="2836" w:hanging="420"/>
      </w:pPr>
      <w:rPr>
        <w:rFonts w:cs="Times New Roman"/>
      </w:rPr>
    </w:lvl>
    <w:lvl w:ilvl="5" w:tplc="0409001B">
      <w:start w:val="1"/>
      <w:numFmt w:val="lowerRoman"/>
      <w:lvlText w:val="%6."/>
      <w:lvlJc w:val="right"/>
      <w:pPr>
        <w:ind w:left="3256" w:hanging="420"/>
      </w:pPr>
      <w:rPr>
        <w:rFonts w:cs="Times New Roman"/>
      </w:rPr>
    </w:lvl>
    <w:lvl w:ilvl="6" w:tplc="0409000F">
      <w:start w:val="1"/>
      <w:numFmt w:val="decimal"/>
      <w:lvlText w:val="%7."/>
      <w:lvlJc w:val="left"/>
      <w:pPr>
        <w:ind w:left="3676" w:hanging="420"/>
      </w:pPr>
      <w:rPr>
        <w:rFonts w:cs="Times New Roman"/>
      </w:rPr>
    </w:lvl>
    <w:lvl w:ilvl="7" w:tplc="04090019">
      <w:start w:val="1"/>
      <w:numFmt w:val="lowerLetter"/>
      <w:lvlText w:val="%8)"/>
      <w:lvlJc w:val="left"/>
      <w:pPr>
        <w:ind w:left="4096" w:hanging="420"/>
      </w:pPr>
      <w:rPr>
        <w:rFonts w:cs="Times New Roman"/>
      </w:rPr>
    </w:lvl>
    <w:lvl w:ilvl="8" w:tplc="0409001B">
      <w:start w:val="1"/>
      <w:numFmt w:val="lowerRoman"/>
      <w:lvlText w:val="%9."/>
      <w:lvlJc w:val="right"/>
      <w:pPr>
        <w:ind w:left="4516" w:hanging="420"/>
      </w:pPr>
      <w:rPr>
        <w:rFonts w:cs="Times New Roman"/>
      </w:rPr>
    </w:lvl>
  </w:abstractNum>
  <w:abstractNum w:abstractNumId="8">
    <w:nsid w:val="1F750FE6"/>
    <w:multiLevelType w:val="hybridMultilevel"/>
    <w:tmpl w:val="DA7EBE50"/>
    <w:lvl w:ilvl="0" w:tplc="646CD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A5754E"/>
    <w:multiLevelType w:val="hybridMultilevel"/>
    <w:tmpl w:val="055273F2"/>
    <w:lvl w:ilvl="0" w:tplc="553AF156">
      <w:numFmt w:val="bullet"/>
      <w:lvlText w:val="□"/>
      <w:lvlJc w:val="left"/>
      <w:pPr>
        <w:ind w:left="394"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2B65F4"/>
    <w:multiLevelType w:val="multilevel"/>
    <w:tmpl w:val="322B65F4"/>
    <w:lvl w:ilvl="0">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1">
    <w:nsid w:val="36896D1F"/>
    <w:multiLevelType w:val="hybridMultilevel"/>
    <w:tmpl w:val="3F60D826"/>
    <w:lvl w:ilvl="0" w:tplc="B8B0C058">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4AF42515"/>
    <w:multiLevelType w:val="hybridMultilevel"/>
    <w:tmpl w:val="CEAC547A"/>
    <w:lvl w:ilvl="0" w:tplc="2F96E602">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535625C1"/>
    <w:multiLevelType w:val="singleLevel"/>
    <w:tmpl w:val="535625C1"/>
    <w:lvl w:ilvl="0">
      <w:start w:val="4"/>
      <w:numFmt w:val="chineseCounting"/>
      <w:suff w:val="nothing"/>
      <w:lvlText w:val="%1、"/>
      <w:lvlJc w:val="left"/>
    </w:lvl>
  </w:abstractNum>
  <w:abstractNum w:abstractNumId="14">
    <w:nsid w:val="56848348"/>
    <w:multiLevelType w:val="singleLevel"/>
    <w:tmpl w:val="56848348"/>
    <w:lvl w:ilvl="0">
      <w:start w:val="2"/>
      <w:numFmt w:val="chineseCounting"/>
      <w:suff w:val="nothing"/>
      <w:lvlText w:val="%1、"/>
      <w:lvlJc w:val="left"/>
      <w:rPr>
        <w:rFonts w:cs="Times New Roman"/>
      </w:rPr>
    </w:lvl>
  </w:abstractNum>
  <w:abstractNum w:abstractNumId="15">
    <w:nsid w:val="570B19A1"/>
    <w:multiLevelType w:val="singleLevel"/>
    <w:tmpl w:val="570B19A1"/>
    <w:lvl w:ilvl="0">
      <w:start w:val="1"/>
      <w:numFmt w:val="chineseCounting"/>
      <w:suff w:val="nothing"/>
      <w:lvlText w:val="%1、"/>
      <w:lvlJc w:val="left"/>
    </w:lvl>
  </w:abstractNum>
  <w:abstractNum w:abstractNumId="16">
    <w:nsid w:val="572B0040"/>
    <w:multiLevelType w:val="singleLevel"/>
    <w:tmpl w:val="572B0040"/>
    <w:lvl w:ilvl="0">
      <w:start w:val="1"/>
      <w:numFmt w:val="chineseCounting"/>
      <w:suff w:val="nothing"/>
      <w:lvlText w:val="%1、"/>
      <w:lvlJc w:val="left"/>
    </w:lvl>
  </w:abstractNum>
  <w:abstractNum w:abstractNumId="17">
    <w:nsid w:val="572B03A6"/>
    <w:multiLevelType w:val="singleLevel"/>
    <w:tmpl w:val="572B03A6"/>
    <w:lvl w:ilvl="0">
      <w:start w:val="3"/>
      <w:numFmt w:val="chineseCounting"/>
      <w:suff w:val="nothing"/>
      <w:lvlText w:val="（%1）"/>
      <w:lvlJc w:val="left"/>
    </w:lvl>
  </w:abstractNum>
  <w:abstractNum w:abstractNumId="18">
    <w:nsid w:val="572B33F2"/>
    <w:multiLevelType w:val="singleLevel"/>
    <w:tmpl w:val="572B33F2"/>
    <w:lvl w:ilvl="0">
      <w:start w:val="1"/>
      <w:numFmt w:val="decimal"/>
      <w:suff w:val="nothing"/>
      <w:lvlText w:val="%1."/>
      <w:lvlJc w:val="left"/>
    </w:lvl>
  </w:abstractNum>
  <w:abstractNum w:abstractNumId="19">
    <w:nsid w:val="5897627D"/>
    <w:multiLevelType w:val="hybridMultilevel"/>
    <w:tmpl w:val="53A432A0"/>
    <w:lvl w:ilvl="0" w:tplc="427C24AC">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0">
    <w:nsid w:val="709C550B"/>
    <w:multiLevelType w:val="hybridMultilevel"/>
    <w:tmpl w:val="54A6FC78"/>
    <w:lvl w:ilvl="0" w:tplc="CEC60D02">
      <w:start w:val="1"/>
      <w:numFmt w:val="japaneseCounting"/>
      <w:lvlText w:val="%1、"/>
      <w:lvlJc w:val="left"/>
      <w:pPr>
        <w:ind w:left="1900" w:hanging="126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3"/>
  </w:num>
  <w:num w:numId="2">
    <w:abstractNumId w:val="3"/>
  </w:num>
  <w:num w:numId="3">
    <w:abstractNumId w:val="8"/>
  </w:num>
  <w:num w:numId="4">
    <w:abstractNumId w:val="5"/>
  </w:num>
  <w:num w:numId="5">
    <w:abstractNumId w:val="19"/>
  </w:num>
  <w:num w:numId="6">
    <w:abstractNumId w:val="14"/>
  </w:num>
  <w:num w:numId="7">
    <w:abstractNumId w:val="6"/>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 w:numId="13">
    <w:abstractNumId w:val="20"/>
  </w:num>
  <w:num w:numId="14">
    <w:abstractNumId w:val="4"/>
  </w:num>
  <w:num w:numId="15">
    <w:abstractNumId w:val="12"/>
  </w:num>
  <w:num w:numId="16">
    <w:abstractNumId w:val="11"/>
  </w:num>
  <w:num w:numId="17">
    <w:abstractNumId w:val="10"/>
  </w:num>
  <w:num w:numId="18">
    <w:abstractNumId w:val="16"/>
  </w:num>
  <w:num w:numId="19">
    <w:abstractNumId w:val="1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AD"/>
    <w:rsid w:val="007B32F7"/>
    <w:rsid w:val="009A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34596-29A6-4FB9-8E34-85824B34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6AD"/>
    <w:pPr>
      <w:widowControl w:val="0"/>
      <w:jc w:val="both"/>
    </w:pPr>
    <w:rPr>
      <w:rFonts w:ascii="Calibri" w:eastAsia="宋体" w:hAnsi="Calibri" w:cs="Times New Roman"/>
    </w:rPr>
  </w:style>
  <w:style w:type="paragraph" w:styleId="1">
    <w:name w:val="heading 1"/>
    <w:basedOn w:val="a"/>
    <w:next w:val="a"/>
    <w:link w:val="1Char"/>
    <w:uiPriority w:val="9"/>
    <w:qFormat/>
    <w:rsid w:val="009A46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A46AD"/>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unhideWhenUsed/>
    <w:qFormat/>
    <w:rsid w:val="009A46AD"/>
    <w:pPr>
      <w:widowControl/>
      <w:jc w:val="left"/>
      <w:outlineLvl w:val="2"/>
    </w:pPr>
    <w:rPr>
      <w:rFonts w:ascii="宋体" w:hAnsi="宋体" w:cs="Tahoma"/>
      <w:color w:val="003366"/>
      <w:kern w:val="0"/>
      <w:sz w:val="18"/>
      <w:szCs w:val="18"/>
    </w:rPr>
  </w:style>
  <w:style w:type="paragraph" w:styleId="4">
    <w:name w:val="heading 4"/>
    <w:basedOn w:val="a"/>
    <w:link w:val="4Char"/>
    <w:uiPriority w:val="9"/>
    <w:unhideWhenUsed/>
    <w:qFormat/>
    <w:rsid w:val="009A46AD"/>
    <w:pPr>
      <w:widowControl/>
      <w:spacing w:before="100" w:beforeAutospacing="1" w:after="100" w:afterAutospacing="1"/>
      <w:jc w:val="left"/>
      <w:outlineLvl w:val="3"/>
    </w:pPr>
    <w:rPr>
      <w:rFonts w:ascii="Tahoma" w:hAnsi="Tahoma" w:cs="Tahoma"/>
      <w:color w:val="003366"/>
      <w:kern w:val="0"/>
      <w:sz w:val="18"/>
      <w:szCs w:val="18"/>
    </w:rPr>
  </w:style>
  <w:style w:type="paragraph" w:styleId="5">
    <w:name w:val="heading 5"/>
    <w:basedOn w:val="a"/>
    <w:link w:val="5Char"/>
    <w:uiPriority w:val="9"/>
    <w:unhideWhenUsed/>
    <w:qFormat/>
    <w:rsid w:val="009A46AD"/>
    <w:pPr>
      <w:widowControl/>
      <w:spacing w:before="100" w:beforeAutospacing="1" w:after="100" w:afterAutospacing="1"/>
      <w:jc w:val="left"/>
      <w:outlineLvl w:val="4"/>
    </w:pPr>
    <w:rPr>
      <w:rFonts w:ascii="Tahoma" w:hAnsi="Tahoma" w:cs="Tahoma"/>
      <w:b/>
      <w:bCs/>
      <w:color w:val="003366"/>
      <w:kern w:val="0"/>
      <w:sz w:val="18"/>
      <w:szCs w:val="18"/>
    </w:rPr>
  </w:style>
  <w:style w:type="paragraph" w:styleId="6">
    <w:name w:val="heading 6"/>
    <w:basedOn w:val="a"/>
    <w:link w:val="6Char"/>
    <w:uiPriority w:val="9"/>
    <w:unhideWhenUsed/>
    <w:qFormat/>
    <w:rsid w:val="009A46AD"/>
    <w:pPr>
      <w:widowControl/>
      <w:spacing w:before="100" w:beforeAutospacing="1" w:after="100" w:afterAutospacing="1"/>
      <w:jc w:val="left"/>
      <w:outlineLvl w:val="5"/>
    </w:pPr>
    <w:rPr>
      <w:rFonts w:ascii="Tahoma" w:hAnsi="Tahoma" w:cs="Tahoma"/>
      <w:b/>
      <w:bCs/>
      <w:color w:val="00336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6AD"/>
    <w:rPr>
      <w:rFonts w:ascii="Calibri" w:eastAsia="宋体" w:hAnsi="Calibri" w:cs="Times New Roman"/>
      <w:b/>
      <w:bCs/>
      <w:kern w:val="44"/>
      <w:sz w:val="44"/>
      <w:szCs w:val="44"/>
    </w:rPr>
  </w:style>
  <w:style w:type="character" w:customStyle="1" w:styleId="2Char">
    <w:name w:val="标题 2 Char"/>
    <w:basedOn w:val="a0"/>
    <w:link w:val="2"/>
    <w:uiPriority w:val="9"/>
    <w:rsid w:val="009A46AD"/>
    <w:rPr>
      <w:rFonts w:ascii="Cambria" w:eastAsia="宋体" w:hAnsi="Cambria" w:cs="Times New Roman"/>
      <w:b/>
      <w:bCs/>
      <w:sz w:val="32"/>
      <w:szCs w:val="32"/>
    </w:rPr>
  </w:style>
  <w:style w:type="character" w:customStyle="1" w:styleId="3Char">
    <w:name w:val="标题 3 Char"/>
    <w:basedOn w:val="a0"/>
    <w:link w:val="3"/>
    <w:uiPriority w:val="9"/>
    <w:rsid w:val="009A46AD"/>
    <w:rPr>
      <w:rFonts w:ascii="宋体" w:eastAsia="宋体" w:hAnsi="宋体" w:cs="Tahoma"/>
      <w:color w:val="003366"/>
      <w:kern w:val="0"/>
      <w:sz w:val="18"/>
      <w:szCs w:val="18"/>
    </w:rPr>
  </w:style>
  <w:style w:type="character" w:customStyle="1" w:styleId="4Char">
    <w:name w:val="标题 4 Char"/>
    <w:basedOn w:val="a0"/>
    <w:link w:val="4"/>
    <w:uiPriority w:val="9"/>
    <w:qFormat/>
    <w:rsid w:val="009A46AD"/>
    <w:rPr>
      <w:rFonts w:ascii="Tahoma" w:eastAsia="宋体" w:hAnsi="Tahoma" w:cs="Tahoma"/>
      <w:color w:val="003366"/>
      <w:kern w:val="0"/>
      <w:sz w:val="18"/>
      <w:szCs w:val="18"/>
    </w:rPr>
  </w:style>
  <w:style w:type="character" w:customStyle="1" w:styleId="5Char">
    <w:name w:val="标题 5 Char"/>
    <w:basedOn w:val="a0"/>
    <w:link w:val="5"/>
    <w:uiPriority w:val="9"/>
    <w:rsid w:val="009A46AD"/>
    <w:rPr>
      <w:rFonts w:ascii="Tahoma" w:eastAsia="宋体" w:hAnsi="Tahoma" w:cs="Tahoma"/>
      <w:b/>
      <w:bCs/>
      <w:color w:val="003366"/>
      <w:kern w:val="0"/>
      <w:sz w:val="18"/>
      <w:szCs w:val="18"/>
    </w:rPr>
  </w:style>
  <w:style w:type="character" w:customStyle="1" w:styleId="6Char">
    <w:name w:val="标题 6 Char"/>
    <w:basedOn w:val="a0"/>
    <w:link w:val="6"/>
    <w:uiPriority w:val="9"/>
    <w:rsid w:val="009A46AD"/>
    <w:rPr>
      <w:rFonts w:ascii="Tahoma" w:eastAsia="宋体" w:hAnsi="Tahoma" w:cs="Tahoma"/>
      <w:b/>
      <w:bCs/>
      <w:color w:val="003366"/>
      <w:kern w:val="0"/>
      <w:sz w:val="18"/>
      <w:szCs w:val="18"/>
    </w:rPr>
  </w:style>
  <w:style w:type="paragraph" w:styleId="a3">
    <w:name w:val="Date"/>
    <w:basedOn w:val="a"/>
    <w:next w:val="a"/>
    <w:link w:val="Char"/>
    <w:uiPriority w:val="99"/>
    <w:unhideWhenUsed/>
    <w:rsid w:val="009A46AD"/>
    <w:pPr>
      <w:ind w:leftChars="2500" w:left="100"/>
    </w:pPr>
  </w:style>
  <w:style w:type="character" w:customStyle="1" w:styleId="Char">
    <w:name w:val="日期 Char"/>
    <w:basedOn w:val="a0"/>
    <w:link w:val="a3"/>
    <w:uiPriority w:val="99"/>
    <w:rsid w:val="009A46AD"/>
    <w:rPr>
      <w:rFonts w:ascii="Calibri" w:eastAsia="宋体" w:hAnsi="Calibri" w:cs="Times New Roman"/>
    </w:rPr>
  </w:style>
  <w:style w:type="paragraph" w:customStyle="1" w:styleId="p0">
    <w:name w:val="p0"/>
    <w:basedOn w:val="a"/>
    <w:rsid w:val="009A46AD"/>
    <w:pPr>
      <w:widowControl/>
    </w:pPr>
    <w:rPr>
      <w:rFonts w:ascii="Times New Roman" w:hAnsi="Times New Roman"/>
      <w:kern w:val="0"/>
      <w:szCs w:val="21"/>
    </w:rPr>
  </w:style>
  <w:style w:type="paragraph" w:styleId="a4">
    <w:name w:val="footer"/>
    <w:basedOn w:val="a"/>
    <w:link w:val="Char0"/>
    <w:uiPriority w:val="99"/>
    <w:qFormat/>
    <w:rsid w:val="009A46AD"/>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qFormat/>
    <w:rsid w:val="009A46AD"/>
    <w:rPr>
      <w:rFonts w:ascii="Times New Roman" w:eastAsia="宋体" w:hAnsi="Times New Roman" w:cs="Times New Roman"/>
      <w:sz w:val="18"/>
      <w:szCs w:val="18"/>
    </w:rPr>
  </w:style>
  <w:style w:type="character" w:styleId="a5">
    <w:name w:val="page number"/>
    <w:basedOn w:val="a0"/>
    <w:rsid w:val="009A46AD"/>
  </w:style>
  <w:style w:type="character" w:customStyle="1" w:styleId="Char1">
    <w:name w:val="批注框文本 Char"/>
    <w:link w:val="a6"/>
    <w:rsid w:val="009A46AD"/>
    <w:rPr>
      <w:rFonts w:ascii="Times New Roman" w:eastAsia="宋体" w:hAnsi="Times New Roman" w:cs="Times New Roman"/>
      <w:sz w:val="18"/>
      <w:szCs w:val="18"/>
    </w:rPr>
  </w:style>
  <w:style w:type="paragraph" w:styleId="a6">
    <w:name w:val="Balloon Text"/>
    <w:basedOn w:val="a"/>
    <w:link w:val="Char1"/>
    <w:qFormat/>
    <w:rsid w:val="009A46AD"/>
    <w:rPr>
      <w:rFonts w:ascii="Times New Roman" w:hAnsi="Times New Roman"/>
      <w:sz w:val="18"/>
      <w:szCs w:val="18"/>
    </w:rPr>
  </w:style>
  <w:style w:type="character" w:customStyle="1" w:styleId="Char10">
    <w:name w:val="批注框文本 Char1"/>
    <w:basedOn w:val="a0"/>
    <w:uiPriority w:val="99"/>
    <w:semiHidden/>
    <w:rsid w:val="009A46AD"/>
    <w:rPr>
      <w:rFonts w:ascii="Calibri" w:eastAsia="宋体" w:hAnsi="Calibri" w:cs="Times New Roman"/>
      <w:sz w:val="18"/>
      <w:szCs w:val="18"/>
    </w:rPr>
  </w:style>
  <w:style w:type="paragraph" w:styleId="a7">
    <w:name w:val="header"/>
    <w:basedOn w:val="a"/>
    <w:link w:val="Char2"/>
    <w:uiPriority w:val="99"/>
    <w:qFormat/>
    <w:rsid w:val="009A46A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7"/>
    <w:uiPriority w:val="99"/>
    <w:rsid w:val="009A46AD"/>
    <w:rPr>
      <w:rFonts w:ascii="Times New Roman" w:eastAsia="宋体" w:hAnsi="Times New Roman" w:cs="Times New Roman"/>
      <w:sz w:val="18"/>
      <w:szCs w:val="18"/>
    </w:rPr>
  </w:style>
  <w:style w:type="paragraph" w:styleId="a8">
    <w:name w:val="Normal (Web)"/>
    <w:basedOn w:val="a"/>
    <w:uiPriority w:val="99"/>
    <w:unhideWhenUsed/>
    <w:qFormat/>
    <w:rsid w:val="009A46AD"/>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Char3"/>
    <w:uiPriority w:val="99"/>
    <w:semiHidden/>
    <w:unhideWhenUsed/>
    <w:rsid w:val="009A46AD"/>
    <w:rPr>
      <w:rFonts w:ascii="宋体"/>
      <w:sz w:val="18"/>
      <w:szCs w:val="18"/>
    </w:rPr>
  </w:style>
  <w:style w:type="character" w:customStyle="1" w:styleId="Char3">
    <w:name w:val="文档结构图 Char"/>
    <w:basedOn w:val="a0"/>
    <w:link w:val="a9"/>
    <w:uiPriority w:val="99"/>
    <w:semiHidden/>
    <w:rsid w:val="009A46AD"/>
    <w:rPr>
      <w:rFonts w:ascii="宋体" w:eastAsia="宋体" w:hAnsi="Calibri" w:cs="Times New Roman"/>
      <w:sz w:val="18"/>
      <w:szCs w:val="18"/>
    </w:rPr>
  </w:style>
  <w:style w:type="paragraph" w:styleId="aa">
    <w:name w:val="annotation text"/>
    <w:basedOn w:val="a"/>
    <w:link w:val="Char4"/>
    <w:unhideWhenUsed/>
    <w:qFormat/>
    <w:rsid w:val="009A46AD"/>
    <w:pPr>
      <w:jc w:val="left"/>
    </w:pPr>
  </w:style>
  <w:style w:type="character" w:customStyle="1" w:styleId="Char4">
    <w:name w:val="批注文字 Char"/>
    <w:basedOn w:val="a0"/>
    <w:link w:val="aa"/>
    <w:qFormat/>
    <w:rsid w:val="009A46AD"/>
    <w:rPr>
      <w:rFonts w:ascii="Calibri" w:eastAsia="宋体" w:hAnsi="Calibri" w:cs="Times New Roman"/>
    </w:rPr>
  </w:style>
  <w:style w:type="paragraph" w:styleId="ab">
    <w:name w:val="annotation subject"/>
    <w:basedOn w:val="aa"/>
    <w:next w:val="aa"/>
    <w:link w:val="Char5"/>
    <w:qFormat/>
    <w:rsid w:val="009A46AD"/>
    <w:rPr>
      <w:rFonts w:ascii="Times New Roman" w:hAnsi="Times New Roman"/>
      <w:b/>
      <w:bCs/>
      <w:szCs w:val="20"/>
    </w:rPr>
  </w:style>
  <w:style w:type="character" w:customStyle="1" w:styleId="Char5">
    <w:name w:val="批注主题 Char"/>
    <w:basedOn w:val="Char4"/>
    <w:link w:val="ab"/>
    <w:qFormat/>
    <w:rsid w:val="009A46AD"/>
    <w:rPr>
      <w:rFonts w:ascii="Times New Roman" w:eastAsia="宋体" w:hAnsi="Times New Roman" w:cs="Times New Roman"/>
      <w:b/>
      <w:bCs/>
      <w:szCs w:val="20"/>
    </w:rPr>
  </w:style>
  <w:style w:type="character" w:styleId="ac">
    <w:name w:val="Strong"/>
    <w:uiPriority w:val="22"/>
    <w:qFormat/>
    <w:rsid w:val="009A46AD"/>
    <w:rPr>
      <w:b/>
      <w:bCs/>
    </w:rPr>
  </w:style>
  <w:style w:type="character" w:styleId="ad">
    <w:name w:val="annotation reference"/>
    <w:qFormat/>
    <w:rsid w:val="009A46AD"/>
    <w:rPr>
      <w:sz w:val="21"/>
      <w:szCs w:val="21"/>
    </w:rPr>
  </w:style>
  <w:style w:type="table" w:styleId="ae">
    <w:name w:val="Table Grid"/>
    <w:basedOn w:val="a1"/>
    <w:qFormat/>
    <w:rsid w:val="009A46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9A46AD"/>
    <w:pPr>
      <w:ind w:firstLineChars="200" w:firstLine="420"/>
    </w:pPr>
    <w:rPr>
      <w:rFonts w:ascii="Times New Roman" w:hAnsi="Times New Roman"/>
      <w:szCs w:val="20"/>
    </w:rPr>
  </w:style>
  <w:style w:type="paragraph" w:customStyle="1" w:styleId="20">
    <w:name w:val="列出段落2"/>
    <w:basedOn w:val="a"/>
    <w:uiPriority w:val="99"/>
    <w:unhideWhenUsed/>
    <w:qFormat/>
    <w:rsid w:val="009A46AD"/>
    <w:pPr>
      <w:ind w:firstLineChars="200" w:firstLine="420"/>
    </w:pPr>
    <w:rPr>
      <w:rFonts w:ascii="Times New Roman" w:hAnsi="Times New Roman"/>
      <w:szCs w:val="20"/>
    </w:rPr>
  </w:style>
  <w:style w:type="paragraph" w:customStyle="1" w:styleId="11">
    <w:name w:val="修订1"/>
    <w:hidden/>
    <w:uiPriority w:val="99"/>
    <w:unhideWhenUsed/>
    <w:qFormat/>
    <w:rsid w:val="009A46AD"/>
    <w:rPr>
      <w:rFonts w:ascii="Times New Roman" w:eastAsia="宋体" w:hAnsi="Times New Roman" w:cs="Times New Roman"/>
      <w:szCs w:val="20"/>
    </w:rPr>
  </w:style>
  <w:style w:type="paragraph" w:customStyle="1" w:styleId="CharCharCharChar">
    <w:name w:val="Char Char Char Char"/>
    <w:basedOn w:val="a"/>
    <w:rsid w:val="009A46AD"/>
    <w:pPr>
      <w:spacing w:line="360" w:lineRule="auto"/>
    </w:pPr>
    <w:rPr>
      <w:rFonts w:ascii="Tahoma" w:hAnsi="Tahoma"/>
      <w:sz w:val="24"/>
      <w:szCs w:val="20"/>
    </w:rPr>
  </w:style>
  <w:style w:type="paragraph" w:styleId="af">
    <w:name w:val="List Paragraph"/>
    <w:basedOn w:val="a"/>
    <w:unhideWhenUsed/>
    <w:qFormat/>
    <w:rsid w:val="009A46AD"/>
    <w:pPr>
      <w:ind w:firstLineChars="200" w:firstLine="420"/>
    </w:pPr>
    <w:rPr>
      <w:rFonts w:ascii="Times New Roman" w:hAnsi="Times New Roman"/>
      <w:szCs w:val="20"/>
    </w:rPr>
  </w:style>
  <w:style w:type="paragraph" w:customStyle="1" w:styleId="Char6">
    <w:name w:val=" Char"/>
    <w:basedOn w:val="a"/>
    <w:rsid w:val="009A46AD"/>
    <w:rPr>
      <w:rFonts w:ascii="Times New Roman" w:hAnsi="Times New Roman"/>
      <w:szCs w:val="20"/>
    </w:rPr>
  </w:style>
  <w:style w:type="paragraph" w:customStyle="1" w:styleId="NewNewNewNewNewNewNewNewNewNewNewNewNewNewNewNewNewNewNewNew">
    <w:name w:val="正文 New New New New New New New New New New New New New New New New New New New New"/>
    <w:rsid w:val="009A46AD"/>
    <w:pPr>
      <w:widowControl w:val="0"/>
      <w:jc w:val="both"/>
    </w:pPr>
    <w:rPr>
      <w:rFonts w:ascii="Times New Roman" w:eastAsia="宋体" w:hAnsi="Times New Roman" w:cs="Times New Roman"/>
      <w:szCs w:val="24"/>
    </w:rPr>
  </w:style>
  <w:style w:type="paragraph" w:styleId="12">
    <w:name w:val="toc 1"/>
    <w:basedOn w:val="a"/>
    <w:next w:val="a"/>
    <w:autoRedefine/>
    <w:uiPriority w:val="39"/>
    <w:unhideWhenUsed/>
    <w:rsid w:val="009A46AD"/>
    <w:pPr>
      <w:tabs>
        <w:tab w:val="right" w:leader="dot" w:pos="8296"/>
      </w:tabs>
      <w:spacing w:line="276" w:lineRule="auto"/>
    </w:pPr>
    <w:rPr>
      <w:noProof/>
    </w:rPr>
  </w:style>
  <w:style w:type="character" w:styleId="af0">
    <w:name w:val="Hyperlink"/>
    <w:uiPriority w:val="99"/>
    <w:unhideWhenUsed/>
    <w:rsid w:val="009A46AD"/>
    <w:rPr>
      <w:color w:val="0000FF"/>
      <w:u w:val="single"/>
    </w:rPr>
  </w:style>
  <w:style w:type="paragraph" w:styleId="af1">
    <w:next w:val="af2"/>
    <w:uiPriority w:val="99"/>
    <w:unhideWhenUsed/>
    <w:rsid w:val="009A46AD"/>
    <w:pPr>
      <w:widowControl w:val="0"/>
      <w:jc w:val="both"/>
    </w:pPr>
    <w:rPr>
      <w:rFonts w:ascii="Calibri" w:eastAsia="宋体" w:hAnsi="Calibri" w:cs="Times New Roman"/>
    </w:rPr>
  </w:style>
  <w:style w:type="paragraph" w:customStyle="1" w:styleId="af3">
    <w:name w:val="目录显示"/>
    <w:basedOn w:val="a"/>
    <w:link w:val="Char7"/>
    <w:qFormat/>
    <w:rsid w:val="009A46AD"/>
    <w:pPr>
      <w:spacing w:before="240"/>
      <w:jc w:val="center"/>
    </w:pPr>
  </w:style>
  <w:style w:type="character" w:customStyle="1" w:styleId="Char7">
    <w:name w:val="目录显示 Char"/>
    <w:link w:val="af3"/>
    <w:rsid w:val="009A46AD"/>
    <w:rPr>
      <w:rFonts w:ascii="Calibri" w:eastAsia="宋体" w:hAnsi="Calibri" w:cs="Times New Roman"/>
    </w:rPr>
  </w:style>
  <w:style w:type="character" w:customStyle="1" w:styleId="apple-converted-space">
    <w:name w:val="apple-converted-space"/>
    <w:basedOn w:val="a0"/>
    <w:qFormat/>
    <w:rsid w:val="009A46AD"/>
  </w:style>
  <w:style w:type="paragraph" w:styleId="af4">
    <w:name w:val="Plain Text"/>
    <w:basedOn w:val="a"/>
    <w:link w:val="Char8"/>
    <w:rsid w:val="009A46AD"/>
    <w:rPr>
      <w:rFonts w:ascii="宋体" w:hAnsi="Courier New" w:cs="Courier New"/>
      <w:szCs w:val="21"/>
    </w:rPr>
  </w:style>
  <w:style w:type="character" w:customStyle="1" w:styleId="Char8">
    <w:name w:val="纯文本 Char"/>
    <w:basedOn w:val="a0"/>
    <w:link w:val="af4"/>
    <w:rsid w:val="009A46AD"/>
    <w:rPr>
      <w:rFonts w:ascii="宋体" w:eastAsia="宋体" w:hAnsi="Courier New" w:cs="Courier New"/>
      <w:szCs w:val="21"/>
    </w:rPr>
  </w:style>
  <w:style w:type="character" w:customStyle="1" w:styleId="HTMLChar">
    <w:name w:val="HTML 预设格式 Char"/>
    <w:link w:val="HTML"/>
    <w:uiPriority w:val="99"/>
    <w:semiHidden/>
    <w:rsid w:val="009A46AD"/>
    <w:rPr>
      <w:rFonts w:ascii="Lucida Console" w:hAnsi="Lucida Console" w:cs="宋体"/>
      <w:sz w:val="24"/>
      <w:szCs w:val="24"/>
    </w:rPr>
  </w:style>
  <w:style w:type="paragraph" w:styleId="HTML">
    <w:name w:val="HTML Preformatted"/>
    <w:basedOn w:val="a"/>
    <w:link w:val="HTMLChar"/>
    <w:uiPriority w:val="99"/>
    <w:semiHidden/>
    <w:unhideWhenUsed/>
    <w:rsid w:val="009A4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eastAsiaTheme="minorEastAsia" w:hAnsi="Lucida Console" w:cs="宋体"/>
      <w:sz w:val="24"/>
      <w:szCs w:val="24"/>
    </w:rPr>
  </w:style>
  <w:style w:type="character" w:customStyle="1" w:styleId="HTMLChar1">
    <w:name w:val="HTML 预设格式 Char1"/>
    <w:basedOn w:val="a0"/>
    <w:uiPriority w:val="99"/>
    <w:semiHidden/>
    <w:rsid w:val="009A46AD"/>
    <w:rPr>
      <w:rFonts w:ascii="Courier New" w:eastAsia="宋体" w:hAnsi="Courier New" w:cs="Courier New"/>
      <w:sz w:val="20"/>
      <w:szCs w:val="20"/>
    </w:rPr>
  </w:style>
  <w:style w:type="character" w:customStyle="1" w:styleId="z-Char">
    <w:name w:val="z-窗体顶端 Char"/>
    <w:link w:val="z-"/>
    <w:uiPriority w:val="99"/>
    <w:semiHidden/>
    <w:qFormat/>
    <w:rsid w:val="009A46AD"/>
    <w:rPr>
      <w:rFonts w:ascii="Arial" w:eastAsia="微软雅黑" w:hAnsi="Arial" w:cs="Arial"/>
      <w:vanish/>
      <w:sz w:val="16"/>
      <w:szCs w:val="16"/>
    </w:rPr>
  </w:style>
  <w:style w:type="paragraph" w:styleId="z-">
    <w:name w:val="HTML Top of Form"/>
    <w:basedOn w:val="a"/>
    <w:next w:val="a"/>
    <w:link w:val="z-Char"/>
    <w:hidden/>
    <w:uiPriority w:val="99"/>
    <w:semiHidden/>
    <w:unhideWhenUsed/>
    <w:rsid w:val="009A46AD"/>
    <w:pPr>
      <w:widowControl/>
      <w:pBdr>
        <w:bottom w:val="single" w:sz="6" w:space="1" w:color="auto"/>
      </w:pBdr>
      <w:adjustRightInd w:val="0"/>
      <w:snapToGrid w:val="0"/>
      <w:jc w:val="center"/>
    </w:pPr>
    <w:rPr>
      <w:rFonts w:ascii="Arial" w:eastAsia="微软雅黑" w:hAnsi="Arial" w:cs="Arial"/>
      <w:vanish/>
      <w:sz w:val="16"/>
      <w:szCs w:val="16"/>
    </w:rPr>
  </w:style>
  <w:style w:type="character" w:customStyle="1" w:styleId="z-Char1">
    <w:name w:val="z-窗体顶端 Char1"/>
    <w:basedOn w:val="a0"/>
    <w:uiPriority w:val="99"/>
    <w:semiHidden/>
    <w:rsid w:val="009A46AD"/>
    <w:rPr>
      <w:rFonts w:ascii="Arial" w:eastAsia="宋体" w:hAnsi="Arial" w:cs="Arial"/>
      <w:vanish/>
      <w:sz w:val="16"/>
      <w:szCs w:val="16"/>
    </w:rPr>
  </w:style>
  <w:style w:type="character" w:customStyle="1" w:styleId="z-Char0">
    <w:name w:val="z-窗体底端 Char"/>
    <w:link w:val="z-0"/>
    <w:uiPriority w:val="99"/>
    <w:semiHidden/>
    <w:rsid w:val="009A46AD"/>
    <w:rPr>
      <w:rFonts w:ascii="Arial" w:eastAsia="微软雅黑" w:hAnsi="Arial" w:cs="Arial"/>
      <w:vanish/>
      <w:sz w:val="16"/>
      <w:szCs w:val="16"/>
    </w:rPr>
  </w:style>
  <w:style w:type="paragraph" w:styleId="z-0">
    <w:name w:val="HTML Bottom of Form"/>
    <w:basedOn w:val="a"/>
    <w:next w:val="a"/>
    <w:link w:val="z-Char0"/>
    <w:hidden/>
    <w:uiPriority w:val="99"/>
    <w:semiHidden/>
    <w:unhideWhenUsed/>
    <w:rsid w:val="009A46AD"/>
    <w:pPr>
      <w:widowControl/>
      <w:pBdr>
        <w:top w:val="single" w:sz="6" w:space="1" w:color="auto"/>
      </w:pBdr>
      <w:adjustRightInd w:val="0"/>
      <w:snapToGrid w:val="0"/>
      <w:jc w:val="center"/>
    </w:pPr>
    <w:rPr>
      <w:rFonts w:ascii="Arial" w:eastAsia="微软雅黑" w:hAnsi="Arial" w:cs="Arial"/>
      <w:vanish/>
      <w:sz w:val="16"/>
      <w:szCs w:val="16"/>
    </w:rPr>
  </w:style>
  <w:style w:type="character" w:customStyle="1" w:styleId="z-Char10">
    <w:name w:val="z-窗体底端 Char1"/>
    <w:basedOn w:val="a0"/>
    <w:uiPriority w:val="99"/>
    <w:semiHidden/>
    <w:rsid w:val="009A46AD"/>
    <w:rPr>
      <w:rFonts w:ascii="Arial" w:eastAsia="宋体" w:hAnsi="Arial" w:cs="Arial"/>
      <w:vanish/>
      <w:sz w:val="16"/>
      <w:szCs w:val="16"/>
    </w:rPr>
  </w:style>
  <w:style w:type="paragraph" w:customStyle="1" w:styleId="af5">
    <w:name w:val="表名"/>
    <w:basedOn w:val="a"/>
    <w:link w:val="Char9"/>
    <w:qFormat/>
    <w:rsid w:val="009A46AD"/>
    <w:pPr>
      <w:spacing w:line="360" w:lineRule="auto"/>
      <w:jc w:val="center"/>
    </w:pPr>
    <w:rPr>
      <w:rFonts w:ascii="黑体" w:eastAsia="黑体" w:hAnsi="黑体"/>
      <w:sz w:val="24"/>
      <w:szCs w:val="32"/>
    </w:rPr>
  </w:style>
  <w:style w:type="character" w:customStyle="1" w:styleId="Char9">
    <w:name w:val="表名 Char"/>
    <w:link w:val="af5"/>
    <w:rsid w:val="009A46AD"/>
    <w:rPr>
      <w:rFonts w:ascii="黑体" w:eastAsia="黑体" w:hAnsi="黑体" w:cs="Times New Roman"/>
      <w:sz w:val="24"/>
      <w:szCs w:val="32"/>
    </w:rPr>
  </w:style>
  <w:style w:type="character" w:customStyle="1" w:styleId="Chara">
    <w:name w:val="副标题 Char"/>
    <w:link w:val="af6"/>
    <w:rsid w:val="009A46AD"/>
    <w:rPr>
      <w:rFonts w:ascii="华文楷体" w:eastAsia="华文楷体" w:hAnsi="华文楷体"/>
      <w:color w:val="000000"/>
      <w:sz w:val="18"/>
    </w:rPr>
  </w:style>
  <w:style w:type="paragraph" w:styleId="af6">
    <w:name w:val="Subtitle"/>
    <w:basedOn w:val="a"/>
    <w:next w:val="a"/>
    <w:link w:val="Chara"/>
    <w:qFormat/>
    <w:rsid w:val="009A46AD"/>
    <w:pPr>
      <w:widowControl/>
      <w:spacing w:beforeLines="25" w:before="78" w:line="280" w:lineRule="exact"/>
    </w:pPr>
    <w:rPr>
      <w:rFonts w:ascii="华文楷体" w:eastAsia="华文楷体" w:hAnsi="华文楷体" w:cstheme="minorBidi"/>
      <w:color w:val="000000"/>
      <w:sz w:val="18"/>
    </w:rPr>
  </w:style>
  <w:style w:type="character" w:customStyle="1" w:styleId="Char11">
    <w:name w:val="副标题 Char1"/>
    <w:basedOn w:val="a0"/>
    <w:uiPriority w:val="11"/>
    <w:rsid w:val="009A46AD"/>
    <w:rPr>
      <w:rFonts w:asciiTheme="majorHAnsi" w:eastAsia="宋体" w:hAnsiTheme="majorHAnsi" w:cstheme="majorBidi"/>
      <w:b/>
      <w:bCs/>
      <w:kern w:val="28"/>
      <w:sz w:val="32"/>
      <w:szCs w:val="32"/>
    </w:rPr>
  </w:style>
  <w:style w:type="character" w:customStyle="1" w:styleId="annotationreference">
    <w:name w:val="annotation reference"/>
    <w:rsid w:val="009A46AD"/>
    <w:rPr>
      <w:sz w:val="21"/>
      <w:szCs w:val="21"/>
    </w:rPr>
  </w:style>
  <w:style w:type="paragraph" w:customStyle="1" w:styleId="annotationsubject">
    <w:name w:val="annotation subject"/>
    <w:basedOn w:val="aa"/>
    <w:next w:val="aa"/>
    <w:rsid w:val="009A46AD"/>
    <w:rPr>
      <w:b/>
      <w:bCs/>
    </w:rPr>
  </w:style>
  <w:style w:type="paragraph" w:customStyle="1" w:styleId="ListParagraph">
    <w:name w:val="List Paragraph"/>
    <w:basedOn w:val="a"/>
    <w:rsid w:val="009A46AD"/>
    <w:pPr>
      <w:ind w:firstLineChars="200" w:firstLine="420"/>
    </w:pPr>
  </w:style>
  <w:style w:type="paragraph" w:customStyle="1" w:styleId="11111">
    <w:name w:val="标题11111"/>
    <w:basedOn w:val="a"/>
    <w:link w:val="11111Char"/>
    <w:qFormat/>
    <w:rsid w:val="009A46AD"/>
    <w:pPr>
      <w:spacing w:before="240" w:line="360" w:lineRule="auto"/>
    </w:pPr>
    <w:rPr>
      <w:rFonts w:ascii="黑体" w:eastAsia="黑体" w:hAnsi="黑体"/>
      <w:sz w:val="28"/>
      <w:szCs w:val="32"/>
    </w:rPr>
  </w:style>
  <w:style w:type="character" w:customStyle="1" w:styleId="11111Char">
    <w:name w:val="标题11111 Char"/>
    <w:link w:val="11111"/>
    <w:rsid w:val="009A46AD"/>
    <w:rPr>
      <w:rFonts w:ascii="黑体" w:eastAsia="黑体" w:hAnsi="黑体" w:cs="Times New Roman"/>
      <w:sz w:val="28"/>
      <w:szCs w:val="32"/>
    </w:rPr>
  </w:style>
  <w:style w:type="paragraph" w:styleId="af7">
    <w:name w:val="Body Text"/>
    <w:basedOn w:val="a"/>
    <w:link w:val="Charb"/>
    <w:uiPriority w:val="99"/>
    <w:unhideWhenUsed/>
    <w:rsid w:val="009A46AD"/>
    <w:pPr>
      <w:widowControl/>
      <w:adjustRightInd w:val="0"/>
      <w:snapToGrid w:val="0"/>
      <w:spacing w:after="200" w:line="380" w:lineRule="exact"/>
      <w:jc w:val="left"/>
    </w:pPr>
    <w:rPr>
      <w:rFonts w:ascii="Times New Roman" w:hAnsi="Times New Roman"/>
      <w:sz w:val="28"/>
      <w:szCs w:val="20"/>
    </w:rPr>
  </w:style>
  <w:style w:type="character" w:customStyle="1" w:styleId="Charb">
    <w:name w:val="正文文本 Char"/>
    <w:basedOn w:val="a0"/>
    <w:link w:val="af7"/>
    <w:uiPriority w:val="99"/>
    <w:rsid w:val="009A46AD"/>
    <w:rPr>
      <w:rFonts w:ascii="Times New Roman" w:eastAsia="宋体" w:hAnsi="Times New Roman" w:cs="Times New Roman"/>
      <w:sz w:val="28"/>
      <w:szCs w:val="20"/>
    </w:rPr>
  </w:style>
  <w:style w:type="paragraph" w:styleId="21">
    <w:name w:val="toc 2"/>
    <w:basedOn w:val="a"/>
    <w:next w:val="a"/>
    <w:autoRedefine/>
    <w:uiPriority w:val="39"/>
    <w:unhideWhenUsed/>
    <w:rsid w:val="009A46AD"/>
    <w:pPr>
      <w:ind w:leftChars="200" w:left="420"/>
    </w:pPr>
  </w:style>
  <w:style w:type="paragraph" w:styleId="30">
    <w:name w:val="toc 3"/>
    <w:basedOn w:val="a"/>
    <w:next w:val="a"/>
    <w:autoRedefine/>
    <w:uiPriority w:val="39"/>
    <w:unhideWhenUsed/>
    <w:rsid w:val="009A46AD"/>
    <w:pPr>
      <w:ind w:leftChars="400" w:left="840"/>
    </w:pPr>
  </w:style>
  <w:style w:type="paragraph" w:styleId="40">
    <w:name w:val="toc 4"/>
    <w:basedOn w:val="a"/>
    <w:next w:val="a"/>
    <w:autoRedefine/>
    <w:uiPriority w:val="39"/>
    <w:unhideWhenUsed/>
    <w:rsid w:val="009A46AD"/>
    <w:pPr>
      <w:ind w:leftChars="600" w:left="1260"/>
    </w:pPr>
  </w:style>
  <w:style w:type="paragraph" w:styleId="50">
    <w:name w:val="toc 5"/>
    <w:basedOn w:val="a"/>
    <w:next w:val="a"/>
    <w:autoRedefine/>
    <w:uiPriority w:val="39"/>
    <w:unhideWhenUsed/>
    <w:rsid w:val="009A46AD"/>
    <w:pPr>
      <w:ind w:leftChars="800" w:left="1680"/>
    </w:pPr>
  </w:style>
  <w:style w:type="paragraph" w:styleId="60">
    <w:name w:val="toc 6"/>
    <w:basedOn w:val="a"/>
    <w:next w:val="a"/>
    <w:autoRedefine/>
    <w:uiPriority w:val="39"/>
    <w:unhideWhenUsed/>
    <w:rsid w:val="009A46AD"/>
    <w:pPr>
      <w:ind w:leftChars="1000" w:left="2100"/>
    </w:pPr>
  </w:style>
  <w:style w:type="paragraph" w:styleId="7">
    <w:name w:val="toc 7"/>
    <w:basedOn w:val="a"/>
    <w:next w:val="a"/>
    <w:autoRedefine/>
    <w:uiPriority w:val="39"/>
    <w:unhideWhenUsed/>
    <w:rsid w:val="009A46AD"/>
    <w:pPr>
      <w:ind w:leftChars="1200" w:left="2520"/>
    </w:pPr>
  </w:style>
  <w:style w:type="paragraph" w:styleId="8">
    <w:name w:val="toc 8"/>
    <w:basedOn w:val="a"/>
    <w:next w:val="a"/>
    <w:autoRedefine/>
    <w:uiPriority w:val="39"/>
    <w:unhideWhenUsed/>
    <w:rsid w:val="009A46AD"/>
    <w:pPr>
      <w:ind w:leftChars="1400" w:left="2940"/>
    </w:pPr>
  </w:style>
  <w:style w:type="paragraph" w:styleId="9">
    <w:name w:val="toc 9"/>
    <w:basedOn w:val="a"/>
    <w:next w:val="a"/>
    <w:autoRedefine/>
    <w:uiPriority w:val="39"/>
    <w:unhideWhenUsed/>
    <w:rsid w:val="009A46AD"/>
    <w:pPr>
      <w:ind w:leftChars="1600" w:left="3360"/>
    </w:pPr>
  </w:style>
  <w:style w:type="character" w:styleId="af2">
    <w:name w:val="FollowedHyperlink"/>
    <w:basedOn w:val="a0"/>
    <w:uiPriority w:val="99"/>
    <w:semiHidden/>
    <w:unhideWhenUsed/>
    <w:rsid w:val="009A4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1501</Words>
  <Characters>8559</Characters>
  <Application>Microsoft Office Word</Application>
  <DocSecurity>0</DocSecurity>
  <Lines>71</Lines>
  <Paragraphs>20</Paragraphs>
  <ScaleCrop>false</ScaleCrop>
  <Company>Sky123.Org</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2016-12-08T11:46:00Z</dcterms:created>
  <dcterms:modified xsi:type="dcterms:W3CDTF">2016-12-08T11:47:00Z</dcterms:modified>
</cp:coreProperties>
</file>