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05" w:rsidRPr="00D25478" w:rsidRDefault="005A7B05" w:rsidP="005A7B05">
      <w:pPr>
        <w:pStyle w:val="1"/>
        <w:rPr>
          <w:sz w:val="36"/>
        </w:rPr>
      </w:pPr>
      <w:bookmarkStart w:id="0" w:name="_Toc450141077"/>
      <w:bookmarkStart w:id="1" w:name="_Toc450251051"/>
      <w:r>
        <w:rPr>
          <w:rFonts w:hint="eastAsia"/>
          <w:sz w:val="36"/>
        </w:rPr>
        <w:t>四川省</w:t>
      </w:r>
      <w:r w:rsidRPr="00D25478">
        <w:rPr>
          <w:rFonts w:hint="eastAsia"/>
          <w:sz w:val="36"/>
        </w:rPr>
        <w:t>附件：</w:t>
      </w:r>
      <w:bookmarkEnd w:id="0"/>
      <w:bookmarkEnd w:id="1"/>
    </w:p>
    <w:p w:rsidR="005A7B05" w:rsidRPr="002B28C8" w:rsidRDefault="005A7B05" w:rsidP="005A7B05">
      <w:pPr>
        <w:pStyle w:val="1"/>
        <w:spacing w:before="0" w:after="0"/>
        <w:jc w:val="center"/>
      </w:pPr>
      <w:bookmarkStart w:id="2" w:name="_Toc450127556"/>
      <w:bookmarkStart w:id="3" w:name="_Toc450139145"/>
      <w:bookmarkStart w:id="4" w:name="_Toc450141078"/>
      <w:bookmarkStart w:id="5" w:name="_Toc450251052"/>
      <w:r w:rsidRPr="002B28C8">
        <w:rPr>
          <w:rFonts w:hint="eastAsia"/>
        </w:rPr>
        <w:t>建筑业营业税改征增值税四川省建设工程计价依据调整办法</w:t>
      </w:r>
      <w:bookmarkEnd w:id="2"/>
      <w:bookmarkEnd w:id="3"/>
      <w:bookmarkEnd w:id="4"/>
      <w:bookmarkEnd w:id="5"/>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一、实施时间</w:t>
      </w:r>
    </w:p>
    <w:p w:rsidR="005A7B05" w:rsidRPr="00D25478" w:rsidRDefault="005A7B05" w:rsidP="005A7B05">
      <w:pPr>
        <w:spacing w:before="240" w:line="360" w:lineRule="auto"/>
        <w:ind w:firstLineChars="200" w:firstLine="480"/>
        <w:rPr>
          <w:rFonts w:ascii="宋体" w:hAnsi="宋体"/>
          <w:sz w:val="24"/>
        </w:rPr>
      </w:pPr>
      <w:r w:rsidRPr="00D25478">
        <w:rPr>
          <w:rFonts w:ascii="宋体" w:hAnsi="宋体" w:hint="eastAsia"/>
          <w:sz w:val="24"/>
        </w:rPr>
        <w:t>执行《建设工程工程量清单计价规范》（GB50500-2013）、《房屋建筑与装饰工程工程量计算规范》（GB50854-2013）等九本工程量计算规范和2015年《四川省建设工程工程量清单计价定额》及配套文件（以下简称“15定额”）的工程，按以下规定执行：</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一）凡在四川省行政区域内且《建筑工程施工许可证》注明的合同开工日期或未取得《建筑工程施工许可证》但建筑工程承包合同注明的开工日期在2016年5月1日（含）后的房屋建筑和市政基础设施工程（以下简称“建筑工程”），应按本办法执行。</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（二）开工日期在2016年4月30日前的建筑工程，在符合《关于全面推开营业税改征增值税试点的通知》（财税[2016]36号）等相关规定的前提下，参照原合同价或营改增前的计价依据执行并在补充协议中明确。</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三）自本办法发布之日起已发出招标文件尚未开标且招标文件规定的计划开工日期在2016年4月30日以后，或尚未开标且招标文件规定的计划开工日期虽在2016年4月30日前但在2016年4月30日前不能完成合同签订的项目，招标文件及招标控制价的编制均应当执行营改增后的计价依据，并按照营改增后的计价依据发布招标文件补充文件。</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自本办法发布之日</w:t>
      </w:r>
      <w:proofErr w:type="gramStart"/>
      <w:r w:rsidRPr="00D25478">
        <w:rPr>
          <w:rFonts w:ascii="宋体" w:hAnsi="宋体" w:hint="eastAsia"/>
          <w:sz w:val="24"/>
        </w:rPr>
        <w:t>起尚未</w:t>
      </w:r>
      <w:proofErr w:type="gramEnd"/>
      <w:r w:rsidRPr="00D25478">
        <w:rPr>
          <w:rFonts w:ascii="宋体" w:hAnsi="宋体" w:hint="eastAsia"/>
          <w:sz w:val="24"/>
        </w:rPr>
        <w:t>发出招标文件的项目，均应当按照营改增后的计价依据执行。</w:t>
      </w:r>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二、调整依据</w:t>
      </w:r>
    </w:p>
    <w:p w:rsidR="005A7B05" w:rsidRPr="00D25478" w:rsidRDefault="005A7B05" w:rsidP="005A7B05">
      <w:pPr>
        <w:spacing w:line="360" w:lineRule="auto"/>
        <w:ind w:firstLineChars="200" w:firstLine="480"/>
        <w:rPr>
          <w:rFonts w:ascii="宋体" w:hAnsi="宋体"/>
          <w:sz w:val="24"/>
        </w:rPr>
      </w:pPr>
      <w:r w:rsidRPr="00D25478">
        <w:rPr>
          <w:rFonts w:ascii="仿宋_GB2312" w:eastAsia="仿宋_GB2312" w:hAnsi="仿宋" w:hint="eastAsia"/>
          <w:sz w:val="24"/>
          <w:szCs w:val="32"/>
        </w:rPr>
        <w:t>（</w:t>
      </w:r>
      <w:r w:rsidRPr="00D25478">
        <w:rPr>
          <w:rFonts w:ascii="宋体" w:hAnsi="宋体" w:hint="eastAsia"/>
          <w:sz w:val="24"/>
        </w:rPr>
        <w:t>一）住房城乡建设部《关于做好建筑业营改增建设工程计价依据调整准备</w:t>
      </w:r>
      <w:r w:rsidRPr="00D25478">
        <w:rPr>
          <w:rFonts w:ascii="宋体" w:hAnsi="宋体" w:hint="eastAsia"/>
          <w:sz w:val="24"/>
        </w:rPr>
        <w:lastRenderedPageBreak/>
        <w:t>工作的通知》（建</w:t>
      </w:r>
      <w:proofErr w:type="gramStart"/>
      <w:r w:rsidRPr="00D25478">
        <w:rPr>
          <w:rFonts w:ascii="宋体" w:hAnsi="宋体" w:hint="eastAsia"/>
          <w:sz w:val="24"/>
        </w:rPr>
        <w:t>办标函</w:t>
      </w:r>
      <w:proofErr w:type="gramEnd"/>
      <w:r w:rsidRPr="00D25478">
        <w:rPr>
          <w:rFonts w:ascii="宋体" w:hAnsi="宋体" w:hint="eastAsia"/>
          <w:sz w:val="24"/>
        </w:rPr>
        <w:t>[2016]4号）、住房城乡建设部标准定额研究所《关于印发研究落实“营改增”具体措施研讨会会议纪要的通知》（建标造[2016]49号）；</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（二）财政部、国家税务总局《关于全面推开营业税改征增值税试点的通知》（财税[2016]36号）；</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（三）现行计价政策、计价规范、计量规范及15定额；</w:t>
      </w:r>
    </w:p>
    <w:p w:rsidR="005A7B05" w:rsidRPr="00D25478" w:rsidRDefault="005A7B05" w:rsidP="005A7B05">
      <w:pPr>
        <w:spacing w:line="360" w:lineRule="auto"/>
        <w:ind w:firstLineChars="200" w:firstLine="480"/>
        <w:rPr>
          <w:rFonts w:ascii="仿宋_GB2312" w:eastAsia="仿宋_GB2312" w:hAnsi="仿宋"/>
          <w:spacing w:val="-4"/>
          <w:sz w:val="24"/>
          <w:szCs w:val="32"/>
        </w:rPr>
      </w:pPr>
      <w:r w:rsidRPr="00D25478">
        <w:rPr>
          <w:rFonts w:ascii="宋体" w:hAnsi="宋体" w:hint="eastAsia"/>
          <w:sz w:val="24"/>
        </w:rPr>
        <w:t>（四）相关课题研究报告、典型工程测算结果及其他有关资料。</w:t>
      </w:r>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三、建筑安装工程费用组成调整</w:t>
      </w:r>
    </w:p>
    <w:p w:rsidR="005A7B05" w:rsidRDefault="005A7B05" w:rsidP="005A7B05">
      <w:pPr>
        <w:spacing w:line="360" w:lineRule="auto"/>
        <w:ind w:firstLineChars="200" w:firstLine="480"/>
        <w:rPr>
          <w:rFonts w:ascii="宋体" w:hAnsi="宋体" w:hint="eastAsia"/>
          <w:sz w:val="24"/>
        </w:rPr>
      </w:pPr>
      <w:r w:rsidRPr="00D25478">
        <w:rPr>
          <w:rFonts w:ascii="宋体" w:hAnsi="宋体" w:hint="eastAsia"/>
          <w:sz w:val="24"/>
        </w:rPr>
        <w:t>（一）营改增后建筑安装工程项目费用组成除本办法另有规定外，均与现行计价政策及15定额的内容一致。</w:t>
      </w:r>
    </w:p>
    <w:p w:rsidR="005A7B05" w:rsidRDefault="005A7B05" w:rsidP="005A7B05">
      <w:pPr>
        <w:spacing w:line="360" w:lineRule="auto"/>
        <w:ind w:firstLineChars="200" w:firstLine="480"/>
        <w:rPr>
          <w:rFonts w:ascii="宋体" w:hAnsi="宋体" w:hint="eastAsia"/>
          <w:sz w:val="24"/>
        </w:rPr>
      </w:pPr>
      <w:r w:rsidRPr="00D25478">
        <w:rPr>
          <w:rFonts w:ascii="宋体" w:hAnsi="宋体" w:hint="eastAsia"/>
          <w:sz w:val="24"/>
        </w:rPr>
        <w:t>（二）15定额综合费中的企业管理费增加城市维护建设税、教育费附加以及地方教育附加。</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（三）税金是指国家税法规定应计</w:t>
      </w:r>
      <w:proofErr w:type="gramStart"/>
      <w:r w:rsidRPr="00D25478">
        <w:rPr>
          <w:rFonts w:ascii="宋体" w:hAnsi="宋体" w:hint="eastAsia"/>
          <w:sz w:val="24"/>
        </w:rPr>
        <w:t>入建筑</w:t>
      </w:r>
      <w:proofErr w:type="gramEnd"/>
      <w:r w:rsidRPr="00D25478">
        <w:rPr>
          <w:rFonts w:ascii="宋体" w:hAnsi="宋体" w:hint="eastAsia"/>
          <w:sz w:val="24"/>
        </w:rPr>
        <w:t>安装工程造价内的增值税销项税额。</w:t>
      </w:r>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四、调整办法</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在保持现行计价定额、造价信息等计价依据基本不变的前提下，按照“价税分离”原则对15定额及工程造价信息进行局部调整。</w:t>
      </w:r>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（一）15定额调整</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1、人工费。不含进项税额，不做调整。</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2、材料（设备）费。15定额中的其他材料费、摊销材料费、安装定额计价材料费、轨道定额和市政定额部分计价材料费，凡以“元”形式出现的均按照附件1的“调整系数”进行调整。15定额材料费中定额材料基价的调整按15定额总说明“第（五）综合单价调整”有关规定执行。材料（设备）价格均应执行不含进项税价格，材料预算价格（信息价）扣减进项税额。具体调整办法见附件2。</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3、施工机具费。15定额台班单价、定额机械费以及其他机械费均按附件1的“调整系数”进行调整。</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4、综合费。15定额综合费按附件1的 “调整系数”进行调整。</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5、费用标准。安全文明施工费、夜间施工增加费、二次搬运费、冬雨季施工增加费、工程定位复测费等专项措施项目费，按照附件1的标准执行。</w:t>
      </w:r>
      <w:proofErr w:type="gramStart"/>
      <w:r w:rsidRPr="00D25478">
        <w:rPr>
          <w:rFonts w:ascii="宋体" w:hAnsi="宋体" w:hint="eastAsia"/>
          <w:sz w:val="24"/>
        </w:rPr>
        <w:t>规</w:t>
      </w:r>
      <w:proofErr w:type="gramEnd"/>
      <w:r w:rsidRPr="00D25478">
        <w:rPr>
          <w:rFonts w:ascii="宋体" w:hAnsi="宋体" w:hint="eastAsia"/>
          <w:sz w:val="24"/>
        </w:rPr>
        <w:t>费不</w:t>
      </w:r>
      <w:r w:rsidRPr="00D25478">
        <w:rPr>
          <w:rFonts w:ascii="宋体" w:hAnsi="宋体" w:hint="eastAsia"/>
          <w:sz w:val="24"/>
        </w:rPr>
        <w:lastRenderedPageBreak/>
        <w:t>含进项税额，不做调整。</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6、税金。销项增值税按税率11%计算，销项税额=税前工程造价×销项增值税税率11%。</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综上所述，增值税下工程造价=税前工程造价+销项增值税额。税前工程造价包括人工费、材料费、施工机具使用费、综合费（企业管理费和利润）、</w:t>
      </w:r>
      <w:proofErr w:type="gramStart"/>
      <w:r w:rsidRPr="00D25478">
        <w:rPr>
          <w:rFonts w:ascii="宋体" w:hAnsi="宋体" w:hint="eastAsia"/>
          <w:sz w:val="24"/>
        </w:rPr>
        <w:t>规</w:t>
      </w:r>
      <w:proofErr w:type="gramEnd"/>
      <w:r w:rsidRPr="00D25478">
        <w:rPr>
          <w:rFonts w:ascii="宋体" w:hAnsi="宋体" w:hint="eastAsia"/>
          <w:sz w:val="24"/>
        </w:rPr>
        <w:t>费之和，各费用项目均以不包含增值税可抵扣进项税额的价格计算。增值税下计价表格的调整见附件3。</w:t>
      </w:r>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（二）工程造价信息调整</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造价管理机构从5月起在工程造价信息中发布不含税价格信息，包括除税的原价、运杂费、运输损耗费和采购及保管费。具体调整办法按附件2。</w:t>
      </w:r>
    </w:p>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五、其他说明</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（一）15定额、工程造价信息的局部调整是根据营改增的要求而进行的，调整后的15定额、工程造价信息等建设工程计价依据除本办法另有规定外，不改变其作用、适用范围及费用计算程序等。</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（二）调整后的要素费用和费率均为不含税价，包括分部分项工程费、措施项目费、其他项目费以及变更、签证、索赔等费用均不含进项税额，应按建设工程营改增计价规则计入税前工程造价。</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（三）营改增后，建设工程</w:t>
      </w:r>
      <w:proofErr w:type="gramStart"/>
      <w:r w:rsidRPr="00D25478">
        <w:rPr>
          <w:rFonts w:ascii="宋体" w:hAnsi="宋体" w:hint="eastAsia"/>
          <w:sz w:val="24"/>
        </w:rPr>
        <w:t>发承包</w:t>
      </w:r>
      <w:proofErr w:type="gramEnd"/>
      <w:r w:rsidRPr="00D25478">
        <w:rPr>
          <w:rFonts w:ascii="宋体" w:hAnsi="宋体" w:hint="eastAsia"/>
          <w:sz w:val="24"/>
        </w:rPr>
        <w:t>及实施阶段的计价活动，适用一般计税方法计税的建筑工程均应执行“价税分离”计价规则及计价依据；选择适用简易计税方法计税的建筑工程，在符合财税部门规定的前提下，发包方可参照营改增前的计价依据执行。</w:t>
      </w:r>
    </w:p>
    <w:p w:rsidR="005A7B05" w:rsidRPr="00D25478" w:rsidRDefault="005A7B05" w:rsidP="005A7B05">
      <w:pPr>
        <w:spacing w:line="360" w:lineRule="auto"/>
        <w:ind w:firstLineChars="200" w:firstLine="480"/>
        <w:rPr>
          <w:rFonts w:ascii="宋体" w:hAnsi="宋体"/>
          <w:sz w:val="24"/>
        </w:rPr>
      </w:pPr>
      <w:r w:rsidRPr="00D25478">
        <w:rPr>
          <w:rFonts w:ascii="宋体" w:hAnsi="宋体" w:hint="eastAsia"/>
          <w:sz w:val="24"/>
        </w:rPr>
        <w:t>（四）风险幅度确定原则：风险幅度均以人工、材料、机械的对应不含</w:t>
      </w:r>
      <w:proofErr w:type="gramStart"/>
      <w:r w:rsidRPr="00D25478">
        <w:rPr>
          <w:rFonts w:ascii="宋体" w:hAnsi="宋体" w:hint="eastAsia"/>
          <w:sz w:val="24"/>
        </w:rPr>
        <w:t>税单价</w:t>
      </w:r>
      <w:proofErr w:type="gramEnd"/>
      <w:r w:rsidRPr="00D25478">
        <w:rPr>
          <w:rFonts w:ascii="宋体" w:hAnsi="宋体" w:hint="eastAsia"/>
          <w:sz w:val="24"/>
        </w:rPr>
        <w:t>为依据计算。</w:t>
      </w:r>
    </w:p>
    <w:p w:rsidR="005A7B05" w:rsidRPr="00D56A0C" w:rsidRDefault="005A7B05" w:rsidP="005A7B05">
      <w:pPr>
        <w:spacing w:line="360" w:lineRule="auto"/>
        <w:ind w:firstLineChars="200" w:firstLine="480"/>
        <w:rPr>
          <w:rFonts w:ascii="宋体" w:hAnsi="宋体" w:hint="eastAsia"/>
          <w:sz w:val="24"/>
        </w:rPr>
      </w:pPr>
      <w:r w:rsidRPr="00D25478">
        <w:rPr>
          <w:rFonts w:ascii="宋体" w:hAnsi="宋体" w:hint="eastAsia"/>
          <w:sz w:val="24"/>
        </w:rPr>
        <w:t>现行造价管理文件中与本办法内容不一致的，以本办法为准。本实施意见自发布之日起执行。</w:t>
      </w:r>
    </w:p>
    <w:p w:rsidR="005A7B05" w:rsidRPr="008212C2" w:rsidRDefault="005A7B05" w:rsidP="005A7B05">
      <w:pPr>
        <w:pStyle w:val="1"/>
        <w:rPr>
          <w:sz w:val="36"/>
        </w:rPr>
      </w:pPr>
      <w:r>
        <w:rPr>
          <w:sz w:val="36"/>
        </w:rPr>
        <w:br w:type="page"/>
      </w:r>
      <w:bookmarkStart w:id="6" w:name="_Toc450141079"/>
      <w:bookmarkStart w:id="7" w:name="_Toc450251053"/>
      <w:r>
        <w:rPr>
          <w:rFonts w:hint="eastAsia"/>
          <w:sz w:val="36"/>
        </w:rPr>
        <w:lastRenderedPageBreak/>
        <w:t>四川省</w:t>
      </w:r>
      <w:r w:rsidRPr="008212C2">
        <w:rPr>
          <w:rFonts w:hint="eastAsia"/>
          <w:sz w:val="36"/>
        </w:rPr>
        <w:t>附件</w:t>
      </w:r>
      <w:r w:rsidRPr="008212C2">
        <w:rPr>
          <w:rFonts w:hint="eastAsia"/>
          <w:sz w:val="36"/>
        </w:rPr>
        <w:t>1</w:t>
      </w:r>
      <w:r w:rsidRPr="008212C2">
        <w:rPr>
          <w:rFonts w:hint="eastAsia"/>
          <w:sz w:val="36"/>
        </w:rPr>
        <w:t>：</w:t>
      </w:r>
      <w:bookmarkEnd w:id="6"/>
      <w:bookmarkEnd w:id="7"/>
    </w:p>
    <w:p w:rsidR="005A7B05" w:rsidRPr="008212C2" w:rsidRDefault="005A7B05" w:rsidP="005A7B05">
      <w:pPr>
        <w:pStyle w:val="1"/>
        <w:spacing w:before="0" w:after="0"/>
        <w:jc w:val="center"/>
      </w:pPr>
      <w:bookmarkStart w:id="8" w:name="_Toc450127558"/>
      <w:bookmarkStart w:id="9" w:name="_Toc450139147"/>
      <w:bookmarkStart w:id="10" w:name="_Toc450141080"/>
      <w:bookmarkStart w:id="11" w:name="_Toc450251054"/>
      <w:r w:rsidRPr="002B28C8">
        <w:t>营改增后</w:t>
      </w:r>
      <w:r w:rsidRPr="002B28C8">
        <w:t>15</w:t>
      </w:r>
      <w:r w:rsidRPr="002B28C8">
        <w:t>定额费用、费率调整表</w:t>
      </w:r>
      <w:bookmarkEnd w:id="8"/>
      <w:bookmarkEnd w:id="9"/>
      <w:bookmarkEnd w:id="10"/>
      <w:bookmarkEnd w:id="11"/>
    </w:p>
    <w:p w:rsidR="005A7B05" w:rsidRPr="00D25478" w:rsidRDefault="005A7B05" w:rsidP="005A7B05">
      <w:pPr>
        <w:spacing w:before="240" w:line="360" w:lineRule="auto"/>
        <w:rPr>
          <w:rFonts w:ascii="黑体" w:eastAsia="黑体" w:hAnsi="黑体"/>
          <w:sz w:val="28"/>
          <w:szCs w:val="32"/>
        </w:rPr>
      </w:pPr>
      <w:r>
        <w:rPr>
          <w:rFonts w:ascii="黑体" w:eastAsia="黑体" w:hAnsi="黑体" w:hint="eastAsia"/>
          <w:sz w:val="28"/>
          <w:szCs w:val="32"/>
        </w:rPr>
        <w:t>一、</w:t>
      </w:r>
      <w:r w:rsidRPr="00D25478">
        <w:rPr>
          <w:rFonts w:ascii="黑体" w:eastAsia="黑体" w:hAnsi="黑体" w:hint="eastAsia"/>
          <w:sz w:val="28"/>
          <w:szCs w:val="32"/>
        </w:rPr>
        <w:t>以“元”为单位的费用调整</w:t>
      </w:r>
    </w:p>
    <w:tbl>
      <w:tblPr>
        <w:tblW w:w="5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229"/>
        <w:gridCol w:w="1054"/>
        <w:gridCol w:w="2505"/>
        <w:gridCol w:w="947"/>
        <w:gridCol w:w="2068"/>
      </w:tblGrid>
      <w:tr w:rsidR="005A7B05" w:rsidRPr="00DF3117" w:rsidTr="00A553A5">
        <w:trPr>
          <w:trHeight w:val="1216"/>
          <w:jc w:val="center"/>
        </w:trPr>
        <w:tc>
          <w:tcPr>
            <w:tcW w:w="676" w:type="pct"/>
            <w:vAlign w:val="center"/>
          </w:tcPr>
          <w:p w:rsidR="005A7B05" w:rsidRPr="00DF3117" w:rsidRDefault="005A7B05" w:rsidP="00A553A5">
            <w:pPr>
              <w:jc w:val="center"/>
              <w:rPr>
                <w:rFonts w:ascii="宋体" w:hAnsi="宋体"/>
                <w:sz w:val="22"/>
              </w:rPr>
            </w:pPr>
            <w:r w:rsidRPr="00DF3117">
              <w:rPr>
                <w:rFonts w:ascii="宋体" w:hAnsi="宋体" w:hint="eastAsia"/>
                <w:sz w:val="22"/>
              </w:rPr>
              <w:t>调整项目</w:t>
            </w:r>
          </w:p>
        </w:tc>
        <w:tc>
          <w:tcPr>
            <w:tcW w:w="681" w:type="pct"/>
            <w:vAlign w:val="center"/>
          </w:tcPr>
          <w:p w:rsidR="005A7B05" w:rsidRPr="00DF3117" w:rsidRDefault="005A7B05" w:rsidP="00A553A5">
            <w:pPr>
              <w:jc w:val="center"/>
              <w:rPr>
                <w:rFonts w:ascii="宋体" w:hAnsi="宋体"/>
                <w:sz w:val="22"/>
              </w:rPr>
            </w:pPr>
            <w:r w:rsidRPr="00DF3117">
              <w:rPr>
                <w:rFonts w:ascii="宋体" w:hAnsi="宋体" w:hint="eastAsia"/>
                <w:sz w:val="22"/>
              </w:rPr>
              <w:t>机械费</w:t>
            </w:r>
          </w:p>
          <w:p w:rsidR="005A7B05" w:rsidRPr="00DF3117" w:rsidRDefault="005A7B05" w:rsidP="00A553A5">
            <w:pPr>
              <w:jc w:val="center"/>
              <w:rPr>
                <w:rFonts w:ascii="宋体" w:hAnsi="宋体"/>
                <w:sz w:val="22"/>
              </w:rPr>
            </w:pPr>
            <w:r w:rsidRPr="00DF3117">
              <w:rPr>
                <w:rFonts w:ascii="宋体" w:hAnsi="宋体" w:hint="eastAsia"/>
                <w:sz w:val="22"/>
              </w:rPr>
              <w:t>（其他机械费）</w:t>
            </w:r>
          </w:p>
        </w:tc>
        <w:tc>
          <w:tcPr>
            <w:tcW w:w="584" w:type="pct"/>
            <w:vAlign w:val="center"/>
          </w:tcPr>
          <w:p w:rsidR="005A7B05" w:rsidRPr="00DF3117" w:rsidRDefault="005A7B05" w:rsidP="00A553A5">
            <w:pPr>
              <w:jc w:val="center"/>
              <w:rPr>
                <w:rFonts w:ascii="宋体" w:hAnsi="宋体"/>
                <w:sz w:val="22"/>
              </w:rPr>
            </w:pPr>
            <w:r w:rsidRPr="00DF3117">
              <w:rPr>
                <w:rFonts w:ascii="宋体" w:hAnsi="宋体" w:hint="eastAsia"/>
                <w:sz w:val="22"/>
              </w:rPr>
              <w:t>综合费</w:t>
            </w:r>
          </w:p>
        </w:tc>
        <w:tc>
          <w:tcPr>
            <w:tcW w:w="1388" w:type="pct"/>
            <w:vAlign w:val="center"/>
          </w:tcPr>
          <w:p w:rsidR="005A7B05" w:rsidRPr="00DF3117" w:rsidRDefault="005A7B05" w:rsidP="00A553A5">
            <w:pPr>
              <w:jc w:val="center"/>
              <w:rPr>
                <w:rFonts w:ascii="宋体" w:hAnsi="宋体"/>
                <w:sz w:val="22"/>
              </w:rPr>
            </w:pPr>
            <w:r w:rsidRPr="00DF3117">
              <w:rPr>
                <w:rFonts w:ascii="宋体" w:hAnsi="宋体" w:hint="eastAsia"/>
                <w:sz w:val="22"/>
              </w:rPr>
              <w:t>其他材料费，安装定额计价材料费，轨道、市政定额部分计价材料费</w:t>
            </w:r>
          </w:p>
        </w:tc>
        <w:tc>
          <w:tcPr>
            <w:tcW w:w="525" w:type="pct"/>
            <w:vAlign w:val="center"/>
          </w:tcPr>
          <w:p w:rsidR="005A7B05" w:rsidRPr="00DF3117" w:rsidRDefault="005A7B05" w:rsidP="00A553A5">
            <w:pPr>
              <w:jc w:val="center"/>
              <w:rPr>
                <w:rFonts w:ascii="宋体" w:hAnsi="宋体"/>
                <w:sz w:val="22"/>
              </w:rPr>
            </w:pPr>
            <w:r w:rsidRPr="00DF3117">
              <w:rPr>
                <w:rFonts w:ascii="宋体" w:hAnsi="宋体" w:hint="eastAsia"/>
                <w:sz w:val="22"/>
              </w:rPr>
              <w:t>摊销材料费</w:t>
            </w:r>
          </w:p>
        </w:tc>
        <w:tc>
          <w:tcPr>
            <w:tcW w:w="1146" w:type="pct"/>
            <w:vAlign w:val="center"/>
          </w:tcPr>
          <w:p w:rsidR="005A7B05" w:rsidRPr="00DF3117" w:rsidRDefault="005A7B05" w:rsidP="00A553A5">
            <w:pPr>
              <w:jc w:val="center"/>
              <w:rPr>
                <w:rFonts w:ascii="宋体" w:hAnsi="宋体"/>
                <w:sz w:val="22"/>
              </w:rPr>
            </w:pPr>
            <w:r w:rsidRPr="00DF3117">
              <w:rPr>
                <w:rFonts w:ascii="宋体" w:hAnsi="宋体" w:hint="eastAsia"/>
                <w:sz w:val="22"/>
              </w:rPr>
              <w:t>调整方法</w:t>
            </w:r>
          </w:p>
        </w:tc>
      </w:tr>
      <w:tr w:rsidR="005A7B05" w:rsidRPr="00DF3117" w:rsidTr="00A553A5">
        <w:trPr>
          <w:trHeight w:val="1120"/>
          <w:jc w:val="center"/>
        </w:trPr>
        <w:tc>
          <w:tcPr>
            <w:tcW w:w="676" w:type="pct"/>
            <w:vAlign w:val="center"/>
          </w:tcPr>
          <w:p w:rsidR="005A7B05" w:rsidRPr="00DF3117" w:rsidRDefault="005A7B05" w:rsidP="00A553A5">
            <w:pPr>
              <w:jc w:val="center"/>
              <w:rPr>
                <w:rFonts w:ascii="宋体" w:hAnsi="宋体"/>
                <w:sz w:val="22"/>
              </w:rPr>
            </w:pPr>
            <w:r w:rsidRPr="00DF3117">
              <w:rPr>
                <w:rFonts w:ascii="宋体" w:hAnsi="宋体" w:hint="eastAsia"/>
                <w:sz w:val="22"/>
              </w:rPr>
              <w:t>调整系数</w:t>
            </w:r>
          </w:p>
        </w:tc>
        <w:tc>
          <w:tcPr>
            <w:tcW w:w="681" w:type="pct"/>
            <w:vAlign w:val="center"/>
          </w:tcPr>
          <w:p w:rsidR="005A7B05" w:rsidRPr="00DF3117" w:rsidRDefault="005A7B05" w:rsidP="00A553A5">
            <w:pPr>
              <w:jc w:val="center"/>
              <w:rPr>
                <w:rFonts w:ascii="宋体" w:hAnsi="宋体"/>
                <w:sz w:val="22"/>
              </w:rPr>
            </w:pPr>
            <w:r w:rsidRPr="00DF3117">
              <w:rPr>
                <w:rFonts w:ascii="宋体" w:hAnsi="宋体" w:hint="eastAsia"/>
                <w:sz w:val="22"/>
              </w:rPr>
              <w:t>92.8%</w:t>
            </w:r>
          </w:p>
        </w:tc>
        <w:tc>
          <w:tcPr>
            <w:tcW w:w="584" w:type="pct"/>
            <w:vAlign w:val="center"/>
          </w:tcPr>
          <w:p w:rsidR="005A7B05" w:rsidRPr="00DF3117" w:rsidRDefault="005A7B05" w:rsidP="00A553A5">
            <w:pPr>
              <w:jc w:val="center"/>
              <w:rPr>
                <w:rFonts w:ascii="宋体" w:hAnsi="宋体"/>
                <w:sz w:val="22"/>
              </w:rPr>
            </w:pPr>
            <w:r w:rsidRPr="00DF3117">
              <w:rPr>
                <w:rFonts w:ascii="宋体" w:hAnsi="宋体" w:hint="eastAsia"/>
                <w:sz w:val="22"/>
              </w:rPr>
              <w:t>105%</w:t>
            </w:r>
          </w:p>
        </w:tc>
        <w:tc>
          <w:tcPr>
            <w:tcW w:w="1388" w:type="pct"/>
            <w:vAlign w:val="center"/>
          </w:tcPr>
          <w:p w:rsidR="005A7B05" w:rsidRPr="00DF3117" w:rsidRDefault="005A7B05" w:rsidP="00A553A5">
            <w:pPr>
              <w:jc w:val="center"/>
              <w:rPr>
                <w:rFonts w:ascii="宋体" w:hAnsi="宋体"/>
                <w:sz w:val="22"/>
              </w:rPr>
            </w:pPr>
            <w:r w:rsidRPr="00DF3117">
              <w:rPr>
                <w:rFonts w:ascii="宋体" w:hAnsi="宋体" w:hint="eastAsia"/>
                <w:sz w:val="22"/>
              </w:rPr>
              <w:t>88%</w:t>
            </w:r>
          </w:p>
        </w:tc>
        <w:tc>
          <w:tcPr>
            <w:tcW w:w="525" w:type="pct"/>
            <w:vAlign w:val="center"/>
          </w:tcPr>
          <w:p w:rsidR="005A7B05" w:rsidRPr="00DF3117" w:rsidRDefault="005A7B05" w:rsidP="00A553A5">
            <w:pPr>
              <w:jc w:val="center"/>
              <w:rPr>
                <w:rFonts w:ascii="宋体" w:hAnsi="宋体"/>
                <w:sz w:val="22"/>
              </w:rPr>
            </w:pPr>
            <w:r w:rsidRPr="00DF3117">
              <w:rPr>
                <w:rFonts w:ascii="宋体" w:hAnsi="宋体" w:hint="eastAsia"/>
                <w:sz w:val="22"/>
              </w:rPr>
              <w:t>87%</w:t>
            </w:r>
          </w:p>
        </w:tc>
        <w:tc>
          <w:tcPr>
            <w:tcW w:w="1146" w:type="pct"/>
            <w:vAlign w:val="center"/>
          </w:tcPr>
          <w:p w:rsidR="005A7B05" w:rsidRPr="00DF3117" w:rsidRDefault="005A7B05" w:rsidP="00A553A5">
            <w:pPr>
              <w:rPr>
                <w:rFonts w:ascii="宋体" w:hAnsi="宋体"/>
                <w:sz w:val="22"/>
              </w:rPr>
            </w:pPr>
            <w:r w:rsidRPr="00DF3117">
              <w:rPr>
                <w:rFonts w:ascii="宋体" w:hAnsi="宋体" w:hint="eastAsia"/>
                <w:sz w:val="22"/>
              </w:rPr>
              <w:t>以定额项目基价的相应费用乘以对应调整系数</w:t>
            </w:r>
          </w:p>
        </w:tc>
      </w:tr>
    </w:tbl>
    <w:p w:rsidR="005A7B05" w:rsidRPr="00D25478" w:rsidRDefault="005A7B05" w:rsidP="005A7B05">
      <w:pPr>
        <w:spacing w:before="240" w:line="360" w:lineRule="auto"/>
        <w:rPr>
          <w:rFonts w:ascii="黑体" w:eastAsia="黑体" w:hAnsi="黑体"/>
          <w:sz w:val="28"/>
          <w:szCs w:val="32"/>
        </w:rPr>
      </w:pPr>
      <w:r w:rsidRPr="00D25478">
        <w:rPr>
          <w:rFonts w:ascii="黑体" w:eastAsia="黑体" w:hAnsi="黑体" w:hint="eastAsia"/>
          <w:sz w:val="28"/>
          <w:szCs w:val="32"/>
        </w:rPr>
        <w:t>二、以“费率（%）”表现的费用标准调整</w:t>
      </w:r>
    </w:p>
    <w:p w:rsidR="005A7B05" w:rsidRPr="00D25478" w:rsidRDefault="005A7B05" w:rsidP="005A7B05">
      <w:pPr>
        <w:spacing w:line="360" w:lineRule="auto"/>
        <w:rPr>
          <w:rFonts w:ascii="黑体" w:eastAsia="黑体" w:hAnsi="黑体"/>
          <w:sz w:val="28"/>
          <w:szCs w:val="32"/>
        </w:rPr>
      </w:pPr>
      <w:r w:rsidRPr="00D25478">
        <w:rPr>
          <w:rFonts w:ascii="黑体" w:eastAsia="黑体" w:hAnsi="黑体" w:hint="eastAsia"/>
          <w:sz w:val="28"/>
          <w:szCs w:val="32"/>
        </w:rPr>
        <w:t>1、调整后的安全文明施工费基本费费率标准</w:t>
      </w:r>
    </w:p>
    <w:p w:rsidR="005A7B05" w:rsidRPr="00D25478" w:rsidRDefault="005A7B05" w:rsidP="005A7B05">
      <w:pPr>
        <w:spacing w:line="360" w:lineRule="auto"/>
        <w:jc w:val="center"/>
        <w:rPr>
          <w:rFonts w:ascii="黑体" w:eastAsia="黑体" w:hAnsi="黑体"/>
          <w:sz w:val="28"/>
          <w:szCs w:val="32"/>
        </w:rPr>
      </w:pPr>
      <w:r w:rsidRPr="00D25478">
        <w:rPr>
          <w:rFonts w:ascii="黑体" w:eastAsia="黑体" w:hAnsi="黑体" w:hint="eastAsia"/>
          <w:sz w:val="28"/>
          <w:szCs w:val="32"/>
        </w:rPr>
        <w:t>安全文明施工费基本费费率标准</w:t>
      </w:r>
    </w:p>
    <w:p w:rsidR="005A7B05" w:rsidRPr="00464CC4" w:rsidRDefault="005A7B05" w:rsidP="005A7B05">
      <w:pPr>
        <w:spacing w:line="360" w:lineRule="auto"/>
        <w:rPr>
          <w:rFonts w:ascii="宋体"/>
          <w:spacing w:val="6"/>
          <w:sz w:val="24"/>
        </w:rPr>
      </w:pPr>
      <w:r w:rsidRPr="00464CC4">
        <w:rPr>
          <w:rFonts w:ascii="宋体" w:hint="eastAsia"/>
          <w:spacing w:val="6"/>
          <w:sz w:val="24"/>
        </w:rPr>
        <w:t>1.工程在市区时</w:t>
      </w:r>
    </w:p>
    <w:tbl>
      <w:tblPr>
        <w:tblW w:w="99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
        <w:gridCol w:w="877"/>
        <w:gridCol w:w="3334"/>
        <w:gridCol w:w="1134"/>
        <w:gridCol w:w="992"/>
        <w:gridCol w:w="3173"/>
      </w:tblGrid>
      <w:tr w:rsidR="005A7B05" w:rsidRPr="00DF3117" w:rsidTr="00A553A5">
        <w:trPr>
          <w:cantSplit/>
          <w:trHeight w:val="724"/>
          <w:tblHeader/>
          <w:jc w:val="center"/>
        </w:trPr>
        <w:tc>
          <w:tcPr>
            <w:tcW w:w="439"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tabs>
                <w:tab w:val="center" w:pos="146"/>
              </w:tabs>
              <w:jc w:val="center"/>
              <w:rPr>
                <w:rFonts w:ascii="宋体" w:hAnsi="宋体" w:cs="宋体"/>
                <w:szCs w:val="21"/>
              </w:rPr>
            </w:pPr>
            <w:r w:rsidRPr="00DF3117">
              <w:rPr>
                <w:rFonts w:ascii="宋体" w:hAnsi="宋体" w:cs="宋体" w:hint="eastAsia"/>
                <w:szCs w:val="21"/>
              </w:rPr>
              <w:t>序</w:t>
            </w:r>
          </w:p>
          <w:p w:rsidR="005A7B05" w:rsidRPr="00DF3117" w:rsidRDefault="005A7B05" w:rsidP="00A553A5">
            <w:pPr>
              <w:jc w:val="center"/>
              <w:rPr>
                <w:rFonts w:ascii="宋体" w:hAnsi="宋体" w:cs="宋体"/>
                <w:szCs w:val="21"/>
              </w:rPr>
            </w:pPr>
            <w:r w:rsidRPr="00DF3117">
              <w:rPr>
                <w:rFonts w:ascii="宋体" w:hAnsi="宋体" w:cs="宋体" w:hint="eastAsia"/>
                <w:szCs w:val="21"/>
              </w:rPr>
              <w:t>号</w:t>
            </w:r>
          </w:p>
        </w:tc>
        <w:tc>
          <w:tcPr>
            <w:tcW w:w="877"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textAlignment w:val="center"/>
              <w:rPr>
                <w:rFonts w:ascii="宋体" w:hAnsi="宋体" w:cs="宋体"/>
                <w:szCs w:val="21"/>
              </w:rPr>
            </w:pPr>
            <w:r w:rsidRPr="00DF3117">
              <w:rPr>
                <w:rFonts w:ascii="宋体" w:hAnsi="宋体" w:cs="宋体" w:hint="eastAsia"/>
                <w:szCs w:val="21"/>
              </w:rPr>
              <w:t>项目</w:t>
            </w:r>
          </w:p>
          <w:p w:rsidR="005A7B05" w:rsidRPr="00DF3117" w:rsidRDefault="005A7B05" w:rsidP="00A553A5">
            <w:pPr>
              <w:jc w:val="center"/>
              <w:textAlignment w:val="center"/>
              <w:rPr>
                <w:rFonts w:ascii="宋体" w:hAnsi="宋体" w:cs="宋体"/>
                <w:szCs w:val="21"/>
              </w:rPr>
            </w:pPr>
            <w:r w:rsidRPr="00DF3117">
              <w:rPr>
                <w:rFonts w:ascii="宋体" w:hAnsi="宋体" w:cs="宋体" w:hint="eastAsia"/>
                <w:szCs w:val="21"/>
              </w:rPr>
              <w:t>名称</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工程类型</w:t>
            </w:r>
          </w:p>
        </w:tc>
        <w:tc>
          <w:tcPr>
            <w:tcW w:w="11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取费基础</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基本费费率（%）</w:t>
            </w:r>
          </w:p>
        </w:tc>
        <w:tc>
          <w:tcPr>
            <w:tcW w:w="3173"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说  明</w:t>
            </w:r>
          </w:p>
        </w:tc>
      </w:tr>
      <w:tr w:rsidR="005A7B05" w:rsidRPr="00DF3117" w:rsidTr="00A553A5">
        <w:trPr>
          <w:cantSplit/>
          <w:trHeight w:val="724"/>
          <w:jc w:val="center"/>
        </w:trPr>
        <w:tc>
          <w:tcPr>
            <w:tcW w:w="439"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roofErr w:type="gramStart"/>
            <w:r w:rsidRPr="00DF3117">
              <w:rPr>
                <w:rFonts w:ascii="宋体" w:hAnsi="宋体" w:cs="宋体" w:hint="eastAsia"/>
                <w:szCs w:val="21"/>
              </w:rPr>
              <w:t>一</w:t>
            </w:r>
            <w:proofErr w:type="gramEnd"/>
          </w:p>
        </w:tc>
        <w:tc>
          <w:tcPr>
            <w:tcW w:w="877"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环境保护费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r w:rsidRPr="00DF3117">
              <w:rPr>
                <w:rFonts w:ascii="宋体" w:hAnsi="宋体" w:hint="eastAsia"/>
                <w:szCs w:val="21"/>
              </w:rPr>
              <w:t>分部分项</w:t>
            </w:r>
          </w:p>
          <w:p w:rsidR="005A7B05" w:rsidRPr="00DF3117" w:rsidRDefault="005A7B05" w:rsidP="00A553A5">
            <w:pPr>
              <w:jc w:val="center"/>
              <w:rPr>
                <w:rFonts w:ascii="宋体" w:hAnsi="宋体"/>
                <w:szCs w:val="21"/>
              </w:rPr>
            </w:pPr>
            <w:r w:rsidRPr="00DF3117">
              <w:rPr>
                <w:rFonts w:ascii="宋体" w:hAnsi="宋体" w:hint="eastAsia"/>
                <w:szCs w:val="21"/>
              </w:rPr>
              <w:t>工程量清</w:t>
            </w:r>
          </w:p>
          <w:p w:rsidR="005A7B05" w:rsidRPr="00DF3117" w:rsidRDefault="005A7B05" w:rsidP="00A553A5">
            <w:pPr>
              <w:jc w:val="center"/>
              <w:rPr>
                <w:rFonts w:ascii="宋体" w:hAnsi="宋体"/>
                <w:szCs w:val="21"/>
              </w:rPr>
            </w:pPr>
            <w:proofErr w:type="gramStart"/>
            <w:r w:rsidRPr="00DF3117">
              <w:rPr>
                <w:rFonts w:ascii="宋体" w:hAnsi="宋体" w:hint="eastAsia"/>
                <w:szCs w:val="21"/>
              </w:rPr>
              <w:t>单项目</w:t>
            </w:r>
            <w:proofErr w:type="gramEnd"/>
            <w:r w:rsidRPr="00DF3117">
              <w:rPr>
                <w:rFonts w:ascii="宋体" w:hAnsi="宋体" w:hint="eastAsia"/>
                <w:szCs w:val="21"/>
              </w:rPr>
              <w:t>定</w:t>
            </w:r>
          </w:p>
          <w:p w:rsidR="005A7B05" w:rsidRPr="00DF3117" w:rsidRDefault="005A7B05" w:rsidP="00A553A5">
            <w:pPr>
              <w:jc w:val="center"/>
              <w:rPr>
                <w:rFonts w:ascii="宋体" w:hAnsi="宋体"/>
                <w:szCs w:val="21"/>
              </w:rPr>
            </w:pPr>
            <w:r w:rsidRPr="00DF3117">
              <w:rPr>
                <w:rFonts w:ascii="宋体" w:hAnsi="宋体" w:hint="eastAsia"/>
                <w:szCs w:val="21"/>
              </w:rPr>
              <w:t>额人工费＋单价措施</w:t>
            </w:r>
          </w:p>
          <w:p w:rsidR="005A7B05" w:rsidRPr="00DF3117" w:rsidRDefault="005A7B05" w:rsidP="00A553A5">
            <w:pPr>
              <w:jc w:val="center"/>
              <w:rPr>
                <w:rFonts w:ascii="宋体" w:hAnsi="宋体"/>
                <w:szCs w:val="21"/>
              </w:rPr>
            </w:pPr>
            <w:r w:rsidRPr="00DF3117">
              <w:rPr>
                <w:rFonts w:ascii="宋体" w:hAnsi="宋体" w:hint="eastAsia"/>
                <w:szCs w:val="21"/>
              </w:rPr>
              <w:t>项目定额</w:t>
            </w:r>
          </w:p>
          <w:p w:rsidR="005A7B05" w:rsidRPr="00DF3117" w:rsidRDefault="005A7B05" w:rsidP="00A553A5">
            <w:pPr>
              <w:jc w:val="center"/>
              <w:rPr>
                <w:rFonts w:ascii="宋体" w:hAnsi="宋体"/>
                <w:szCs w:val="21"/>
              </w:rPr>
            </w:pPr>
            <w:r w:rsidRPr="00DF3117">
              <w:rPr>
                <w:rFonts w:ascii="宋体" w:hAnsi="宋体" w:hint="eastAsia"/>
                <w:szCs w:val="21"/>
              </w:rPr>
              <w:t>人工费</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tabs>
                <w:tab w:val="left" w:pos="180"/>
                <w:tab w:val="left" w:pos="330"/>
                <w:tab w:val="center" w:pos="522"/>
              </w:tabs>
              <w:spacing w:before="100"/>
              <w:jc w:val="center"/>
              <w:rPr>
                <w:rFonts w:ascii="宋体" w:hAnsi="宋体"/>
                <w:szCs w:val="21"/>
              </w:rPr>
            </w:pPr>
            <w:r w:rsidRPr="00DF3117">
              <w:rPr>
                <w:rFonts w:ascii="宋体" w:hAnsi="宋体" w:hint="eastAsia"/>
                <w:szCs w:val="21"/>
              </w:rPr>
              <w:t>0.20</w:t>
            </w:r>
          </w:p>
        </w:tc>
        <w:tc>
          <w:tcPr>
            <w:tcW w:w="3173"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rPr>
                <w:rFonts w:ascii="宋体" w:hAnsi="宋体" w:cs="宋体"/>
                <w:szCs w:val="21"/>
              </w:rPr>
            </w:pPr>
            <w:r w:rsidRPr="00DF3117">
              <w:rPr>
                <w:rFonts w:ascii="宋体" w:hAnsi="宋体" w:cs="宋体" w:hint="eastAsia"/>
                <w:szCs w:val="21"/>
              </w:rPr>
              <w:t>1、表中所列工程均为单独发包工程。房屋建筑与装饰工程、仿古建筑工程、构筑物工程包括未单独发包的与其配套的线路、管道、设备安装工程及室内外装饰装修工程。</w:t>
            </w:r>
          </w:p>
          <w:p w:rsidR="005A7B05" w:rsidRPr="00DF3117" w:rsidRDefault="005A7B05" w:rsidP="00A553A5">
            <w:pPr>
              <w:rPr>
                <w:rFonts w:ascii="宋体" w:hAnsi="宋体" w:cs="宋体"/>
                <w:szCs w:val="21"/>
              </w:rPr>
            </w:pPr>
            <w:r w:rsidRPr="00DF3117">
              <w:rPr>
                <w:rFonts w:ascii="宋体" w:hAnsi="宋体" w:cs="宋体" w:hint="eastAsia"/>
                <w:szCs w:val="21"/>
              </w:rPr>
              <w:t>2、单独装饰工程、单独通用安装工程包括未单独发包的与其配套的工程以及单独发包的城市轨道交通工程中的通信工程、信号工程、供电工程、智能与控制系统安装工程。</w:t>
            </w:r>
          </w:p>
          <w:p w:rsidR="005A7B05" w:rsidRPr="00DF3117" w:rsidRDefault="005A7B05" w:rsidP="00A553A5">
            <w:pPr>
              <w:jc w:val="left"/>
              <w:rPr>
                <w:rFonts w:ascii="宋体" w:hAnsi="宋体"/>
                <w:szCs w:val="21"/>
              </w:rPr>
            </w:pPr>
            <w:r w:rsidRPr="00DF3117">
              <w:rPr>
                <w:rFonts w:ascii="宋体" w:hAnsi="宋体" w:cs="宋体" w:hint="eastAsia"/>
                <w:szCs w:val="21"/>
              </w:rPr>
              <w:t>3、市政工程包括未单独发包的与其配套的工程以及单独发包的</w:t>
            </w:r>
            <w:r w:rsidRPr="00DF3117">
              <w:rPr>
                <w:rFonts w:ascii="宋体" w:hAnsi="宋体" w:cs="宋体" w:hint="eastAsia"/>
                <w:szCs w:val="21"/>
              </w:rPr>
              <w:lastRenderedPageBreak/>
              <w:t>市政给水、燃气、水处理、生活垃圾处理机械设备安装、路灯工程。</w:t>
            </w:r>
          </w:p>
        </w:tc>
      </w:tr>
      <w:tr w:rsidR="005A7B05" w:rsidRPr="00DF3117" w:rsidTr="00A553A5">
        <w:trPr>
          <w:cantSplit/>
          <w:trHeight w:val="724"/>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二</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文明施工费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2.48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1.24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1.74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1.74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1.14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1.14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724"/>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bottom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1.14</w:t>
            </w:r>
          </w:p>
        </w:tc>
        <w:tc>
          <w:tcPr>
            <w:tcW w:w="3173" w:type="dxa"/>
            <w:vMerge/>
            <w:tcBorders>
              <w:left w:val="single" w:sz="4" w:space="0" w:color="auto"/>
              <w:bottom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724"/>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lastRenderedPageBreak/>
              <w:t>三</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安全施工费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r w:rsidRPr="00DF3117">
              <w:rPr>
                <w:rFonts w:ascii="宋体" w:hAnsi="宋体" w:hint="eastAsia"/>
                <w:szCs w:val="21"/>
              </w:rPr>
              <w:t>分部分项</w:t>
            </w:r>
          </w:p>
          <w:p w:rsidR="005A7B05" w:rsidRPr="00DF3117" w:rsidRDefault="005A7B05" w:rsidP="00A553A5">
            <w:pPr>
              <w:jc w:val="center"/>
              <w:rPr>
                <w:rFonts w:ascii="宋体" w:hAnsi="宋体"/>
                <w:szCs w:val="21"/>
              </w:rPr>
            </w:pPr>
            <w:r w:rsidRPr="00DF3117">
              <w:rPr>
                <w:rFonts w:ascii="宋体" w:hAnsi="宋体" w:hint="eastAsia"/>
                <w:szCs w:val="21"/>
              </w:rPr>
              <w:t>工程量清</w:t>
            </w:r>
          </w:p>
          <w:p w:rsidR="005A7B05" w:rsidRPr="00DF3117" w:rsidRDefault="005A7B05" w:rsidP="00A553A5">
            <w:pPr>
              <w:jc w:val="center"/>
              <w:rPr>
                <w:rFonts w:ascii="宋体" w:hAnsi="宋体"/>
                <w:szCs w:val="21"/>
              </w:rPr>
            </w:pPr>
            <w:proofErr w:type="gramStart"/>
            <w:r w:rsidRPr="00DF3117">
              <w:rPr>
                <w:rFonts w:ascii="宋体" w:hAnsi="宋体" w:hint="eastAsia"/>
                <w:szCs w:val="21"/>
              </w:rPr>
              <w:t>单项目</w:t>
            </w:r>
            <w:proofErr w:type="gramEnd"/>
            <w:r w:rsidRPr="00DF3117">
              <w:rPr>
                <w:rFonts w:ascii="宋体" w:hAnsi="宋体" w:hint="eastAsia"/>
                <w:szCs w:val="21"/>
              </w:rPr>
              <w:t>定</w:t>
            </w:r>
          </w:p>
          <w:p w:rsidR="005A7B05" w:rsidRPr="00DF3117" w:rsidRDefault="005A7B05" w:rsidP="00A553A5">
            <w:pPr>
              <w:jc w:val="center"/>
              <w:rPr>
                <w:rFonts w:ascii="宋体" w:hAnsi="宋体"/>
                <w:szCs w:val="21"/>
              </w:rPr>
            </w:pPr>
            <w:r w:rsidRPr="00DF3117">
              <w:rPr>
                <w:rFonts w:ascii="宋体" w:hAnsi="宋体" w:hint="eastAsia"/>
                <w:szCs w:val="21"/>
              </w:rPr>
              <w:t>额人工费＋单价措施</w:t>
            </w:r>
          </w:p>
          <w:p w:rsidR="005A7B05" w:rsidRPr="00DF3117" w:rsidRDefault="005A7B05" w:rsidP="00A553A5">
            <w:pPr>
              <w:jc w:val="center"/>
              <w:rPr>
                <w:rFonts w:ascii="宋体" w:hAnsi="宋体"/>
                <w:szCs w:val="21"/>
              </w:rPr>
            </w:pPr>
            <w:r w:rsidRPr="00DF3117">
              <w:rPr>
                <w:rFonts w:ascii="宋体" w:hAnsi="宋体" w:hint="eastAsia"/>
                <w:szCs w:val="21"/>
              </w:rPr>
              <w:t>项目定额</w:t>
            </w:r>
          </w:p>
          <w:p w:rsidR="005A7B05" w:rsidRPr="00DF3117" w:rsidRDefault="005A7B05" w:rsidP="00A553A5">
            <w:pPr>
              <w:jc w:val="center"/>
              <w:rPr>
                <w:rFonts w:ascii="宋体" w:hAnsi="宋体"/>
                <w:szCs w:val="21"/>
              </w:rPr>
            </w:pPr>
            <w:r w:rsidRPr="00DF3117">
              <w:rPr>
                <w:rFonts w:ascii="宋体" w:hAnsi="宋体" w:hint="eastAsia"/>
                <w:szCs w:val="21"/>
              </w:rPr>
              <w:t>人工费</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4.59</w:t>
            </w:r>
          </w:p>
        </w:tc>
        <w:tc>
          <w:tcPr>
            <w:tcW w:w="3173"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rPr>
                <w:rFonts w:ascii="宋体" w:hAnsi="宋体" w:cs="宋体"/>
                <w:szCs w:val="21"/>
              </w:rPr>
            </w:pPr>
            <w:r w:rsidRPr="00DF3117">
              <w:rPr>
                <w:rFonts w:ascii="宋体" w:hAnsi="宋体" w:cs="宋体" w:hint="eastAsia"/>
                <w:szCs w:val="21"/>
              </w:rPr>
              <w:t>4、城市轨道交通工程（不含单独发包的通信工程、信号工程、供电工程、智能与控制系统安装工程）包括未单独发包的与其配套的工程。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5、园林绿化工程包括未单独发包的园路、园桥、亭廊等与其配套的工程。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6、维修加固工程、拆除工程包括未单独发包的与其配套的工程。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7、单独土石方、单独地基处理与边坡支护工程、单独桩基工程包括未单独发包的与其配套的工程。</w:t>
            </w:r>
          </w:p>
          <w:p w:rsidR="005A7B05" w:rsidRPr="00DF3117" w:rsidRDefault="005A7B05" w:rsidP="00A553A5">
            <w:pPr>
              <w:rPr>
                <w:rFonts w:ascii="宋体" w:hAnsi="宋体"/>
                <w:szCs w:val="21"/>
              </w:rPr>
            </w:pPr>
            <w:r w:rsidRPr="00DF3117">
              <w:rPr>
                <w:rFonts w:ascii="宋体" w:hAnsi="宋体" w:cs="宋体" w:hint="eastAsia"/>
                <w:szCs w:val="21"/>
              </w:rPr>
              <w:t>8、房屋建筑与装饰工程、仿古建筑工程、构筑物工程、市政工程、城市轨道交通工程安全施工费已包括施工现场设置安防监控系统设施的费用，如未设置或经现场评价不符合《四川省住房和城乡建设厅关于开展建设工程质量安全数字化管理工作的通知》</w:t>
            </w:r>
            <w:r>
              <w:rPr>
                <w:rFonts w:ascii="宋体" w:hAnsi="宋体" w:cs="宋体" w:hint="eastAsia"/>
                <w:szCs w:val="21"/>
              </w:rPr>
              <w:t xml:space="preserve"> </w:t>
            </w:r>
            <w:r w:rsidRPr="00DF3117">
              <w:rPr>
                <w:rFonts w:ascii="宋体" w:hAnsi="宋体" w:cs="宋体" w:hint="eastAsia"/>
                <w:szCs w:val="21"/>
              </w:rPr>
              <w:t>（</w:t>
            </w:r>
            <w:proofErr w:type="gramStart"/>
            <w:r w:rsidRPr="00DF3117">
              <w:rPr>
                <w:rFonts w:ascii="宋体" w:hAnsi="宋体" w:cs="宋体"/>
                <w:szCs w:val="21"/>
              </w:rPr>
              <w:t>川建质安</w:t>
            </w:r>
            <w:proofErr w:type="gramEnd"/>
            <w:r w:rsidRPr="00DF3117">
              <w:rPr>
                <w:rFonts w:ascii="宋体" w:hAnsi="宋体" w:cs="宋体"/>
                <w:szCs w:val="21"/>
              </w:rPr>
              <w:t>发[2013]39号</w:t>
            </w:r>
            <w:r w:rsidRPr="00DF3117">
              <w:rPr>
                <w:rFonts w:ascii="宋体" w:hAnsi="宋体" w:cs="宋体" w:hint="eastAsia"/>
                <w:szCs w:val="21"/>
              </w:rPr>
              <w:t>）规定，安全施工费费率乘以系数0.75。</w:t>
            </w: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2.05</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市政工程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2.63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2.63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1.91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1.91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spacing w:before="100"/>
              <w:jc w:val="center"/>
              <w:rPr>
                <w:rFonts w:ascii="宋体" w:hAnsi="宋体"/>
                <w:szCs w:val="21"/>
              </w:rPr>
            </w:pPr>
          </w:p>
        </w:tc>
      </w:tr>
      <w:tr w:rsidR="005A7B05" w:rsidRPr="00DF3117" w:rsidTr="00A553A5">
        <w:trPr>
          <w:cantSplit/>
          <w:trHeight w:val="724"/>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widowControl/>
              <w:jc w:val="center"/>
              <w:rPr>
                <w:rFonts w:ascii="宋体" w:hAnsi="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1.58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spacing w:before="100"/>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724"/>
          <w:jc w:val="center"/>
        </w:trPr>
        <w:tc>
          <w:tcPr>
            <w:tcW w:w="439" w:type="dxa"/>
            <w:vMerge w:val="restart"/>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四</w:t>
            </w:r>
          </w:p>
        </w:tc>
        <w:tc>
          <w:tcPr>
            <w:tcW w:w="877" w:type="dxa"/>
            <w:vMerge w:val="restart"/>
            <w:vAlign w:val="center"/>
          </w:tcPr>
          <w:p w:rsidR="005A7B05" w:rsidRPr="00DF3117" w:rsidRDefault="005A7B05" w:rsidP="00A553A5">
            <w:pPr>
              <w:spacing w:before="100"/>
              <w:jc w:val="center"/>
              <w:rPr>
                <w:rFonts w:ascii="宋体" w:hAnsi="宋体" w:cs="宋体"/>
                <w:szCs w:val="21"/>
              </w:rPr>
            </w:pPr>
            <w:r w:rsidRPr="00DF3117">
              <w:rPr>
                <w:rFonts w:ascii="宋体" w:hAnsi="宋体" w:cs="宋体" w:hint="eastAsia"/>
                <w:szCs w:val="21"/>
              </w:rPr>
              <w:t>临时设施费</w:t>
            </w: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3.41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spacing w:before="100"/>
              <w:jc w:val="center"/>
              <w:rPr>
                <w:rFonts w:ascii="宋体" w:hAnsi="宋体"/>
                <w:szCs w:val="21"/>
              </w:rPr>
            </w:pPr>
          </w:p>
        </w:tc>
        <w:tc>
          <w:tcPr>
            <w:tcW w:w="877"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3.41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spacing w:before="100"/>
              <w:jc w:val="center"/>
              <w:rPr>
                <w:rFonts w:ascii="宋体" w:hAnsi="宋体"/>
                <w:szCs w:val="21"/>
              </w:rPr>
            </w:pPr>
          </w:p>
        </w:tc>
        <w:tc>
          <w:tcPr>
            <w:tcW w:w="877"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3.41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spacing w:before="100"/>
              <w:jc w:val="center"/>
              <w:rPr>
                <w:rFonts w:ascii="宋体" w:hAnsi="宋体"/>
                <w:szCs w:val="21"/>
              </w:rPr>
            </w:pPr>
          </w:p>
        </w:tc>
        <w:tc>
          <w:tcPr>
            <w:tcW w:w="877"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3.41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spacing w:before="100"/>
              <w:jc w:val="center"/>
              <w:rPr>
                <w:rFonts w:ascii="宋体" w:hAnsi="宋体"/>
                <w:szCs w:val="21"/>
              </w:rPr>
            </w:pPr>
          </w:p>
        </w:tc>
        <w:tc>
          <w:tcPr>
            <w:tcW w:w="877"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3.08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spacing w:before="100"/>
              <w:jc w:val="center"/>
              <w:rPr>
                <w:rFonts w:ascii="宋体" w:hAnsi="宋体"/>
                <w:szCs w:val="21"/>
              </w:rPr>
            </w:pPr>
          </w:p>
        </w:tc>
        <w:tc>
          <w:tcPr>
            <w:tcW w:w="877"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2.70</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spacing w:before="100"/>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724"/>
          <w:jc w:val="center"/>
        </w:trPr>
        <w:tc>
          <w:tcPr>
            <w:tcW w:w="439" w:type="dxa"/>
            <w:vMerge/>
            <w:vAlign w:val="center"/>
          </w:tcPr>
          <w:p w:rsidR="005A7B05" w:rsidRPr="00DF3117" w:rsidRDefault="005A7B05" w:rsidP="00A553A5">
            <w:pPr>
              <w:spacing w:before="100"/>
              <w:jc w:val="center"/>
              <w:rPr>
                <w:rFonts w:ascii="宋体" w:hAnsi="宋体"/>
                <w:szCs w:val="21"/>
              </w:rPr>
            </w:pPr>
          </w:p>
        </w:tc>
        <w:tc>
          <w:tcPr>
            <w:tcW w:w="877"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2.70</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spacing w:before="100"/>
              <w:jc w:val="center"/>
              <w:rPr>
                <w:rFonts w:ascii="宋体" w:hAnsi="宋体"/>
                <w:szCs w:val="21"/>
              </w:rPr>
            </w:pPr>
          </w:p>
        </w:tc>
      </w:tr>
    </w:tbl>
    <w:p w:rsidR="005A7B05" w:rsidRDefault="005A7B05" w:rsidP="005A7B05">
      <w:pPr>
        <w:snapToGrid w:val="0"/>
        <w:spacing w:line="360" w:lineRule="atLeast"/>
        <w:rPr>
          <w:rFonts w:ascii="宋体"/>
          <w:spacing w:val="6"/>
        </w:rPr>
      </w:pPr>
    </w:p>
    <w:p w:rsidR="005A7B05" w:rsidRPr="00464CC4" w:rsidRDefault="005A7B05" w:rsidP="005A7B05">
      <w:pPr>
        <w:spacing w:line="360" w:lineRule="auto"/>
        <w:rPr>
          <w:rFonts w:ascii="宋体"/>
          <w:spacing w:val="6"/>
          <w:sz w:val="24"/>
        </w:rPr>
      </w:pPr>
      <w:r w:rsidRPr="00464CC4">
        <w:rPr>
          <w:rFonts w:ascii="宋体" w:hint="eastAsia"/>
          <w:spacing w:val="6"/>
          <w:sz w:val="24"/>
        </w:rPr>
        <w:t>2.工程在县城、镇时</w:t>
      </w:r>
    </w:p>
    <w:tbl>
      <w:tblPr>
        <w:tblW w:w="99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
        <w:gridCol w:w="877"/>
        <w:gridCol w:w="3334"/>
        <w:gridCol w:w="1134"/>
        <w:gridCol w:w="992"/>
        <w:gridCol w:w="3173"/>
      </w:tblGrid>
      <w:tr w:rsidR="005A7B05" w:rsidRPr="00DF3117" w:rsidTr="00A553A5">
        <w:trPr>
          <w:cantSplit/>
          <w:trHeight w:val="691"/>
          <w:tblHeader/>
          <w:jc w:val="center"/>
        </w:trPr>
        <w:tc>
          <w:tcPr>
            <w:tcW w:w="439"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序</w:t>
            </w:r>
          </w:p>
          <w:p w:rsidR="005A7B05" w:rsidRPr="00DF3117" w:rsidRDefault="005A7B05" w:rsidP="00A553A5">
            <w:pPr>
              <w:jc w:val="center"/>
              <w:rPr>
                <w:rFonts w:ascii="宋体" w:hAnsi="宋体" w:cs="宋体"/>
                <w:szCs w:val="21"/>
              </w:rPr>
            </w:pPr>
            <w:r w:rsidRPr="00DF3117">
              <w:rPr>
                <w:rFonts w:ascii="宋体" w:hAnsi="宋体" w:cs="宋体" w:hint="eastAsia"/>
                <w:szCs w:val="21"/>
              </w:rPr>
              <w:t>号</w:t>
            </w:r>
          </w:p>
        </w:tc>
        <w:tc>
          <w:tcPr>
            <w:tcW w:w="877"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项目</w:t>
            </w:r>
          </w:p>
          <w:p w:rsidR="005A7B05" w:rsidRPr="00DF3117" w:rsidRDefault="005A7B05" w:rsidP="00A553A5">
            <w:pPr>
              <w:jc w:val="center"/>
              <w:rPr>
                <w:rFonts w:ascii="宋体" w:hAnsi="宋体" w:cs="宋体"/>
                <w:szCs w:val="21"/>
              </w:rPr>
            </w:pPr>
            <w:r w:rsidRPr="00DF3117">
              <w:rPr>
                <w:rFonts w:ascii="宋体" w:hAnsi="宋体" w:cs="宋体" w:hint="eastAsia"/>
                <w:szCs w:val="21"/>
              </w:rPr>
              <w:t>名称</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工程类型</w:t>
            </w:r>
          </w:p>
        </w:tc>
        <w:tc>
          <w:tcPr>
            <w:tcW w:w="11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取费基础</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基本费费率（%）</w:t>
            </w:r>
          </w:p>
        </w:tc>
        <w:tc>
          <w:tcPr>
            <w:tcW w:w="3173"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说  明</w:t>
            </w:r>
          </w:p>
        </w:tc>
      </w:tr>
      <w:tr w:rsidR="005A7B05" w:rsidRPr="00DF3117" w:rsidTr="00A553A5">
        <w:trPr>
          <w:cantSplit/>
          <w:trHeight w:val="692"/>
          <w:jc w:val="center"/>
        </w:trPr>
        <w:tc>
          <w:tcPr>
            <w:tcW w:w="439"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roofErr w:type="gramStart"/>
            <w:r w:rsidRPr="00DF3117">
              <w:rPr>
                <w:rFonts w:ascii="宋体" w:hAnsi="宋体" w:cs="宋体" w:hint="eastAsia"/>
                <w:szCs w:val="21"/>
              </w:rPr>
              <w:t>一</w:t>
            </w:r>
            <w:proofErr w:type="gramEnd"/>
          </w:p>
        </w:tc>
        <w:tc>
          <w:tcPr>
            <w:tcW w:w="877"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环境保护费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rPr>
                <w:rFonts w:ascii="宋体" w:hAnsi="宋体"/>
                <w:szCs w:val="21"/>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r w:rsidRPr="00DF3117">
              <w:rPr>
                <w:rFonts w:ascii="宋体" w:hAnsi="宋体" w:hint="eastAsia"/>
                <w:szCs w:val="21"/>
              </w:rPr>
              <w:t>分部分项</w:t>
            </w:r>
          </w:p>
          <w:p w:rsidR="005A7B05" w:rsidRPr="00DF3117" w:rsidRDefault="005A7B05" w:rsidP="00A553A5">
            <w:pPr>
              <w:jc w:val="center"/>
              <w:rPr>
                <w:rFonts w:ascii="宋体" w:hAnsi="宋体"/>
                <w:szCs w:val="21"/>
              </w:rPr>
            </w:pPr>
            <w:r w:rsidRPr="00DF3117">
              <w:rPr>
                <w:rFonts w:ascii="宋体" w:hAnsi="宋体" w:hint="eastAsia"/>
                <w:szCs w:val="21"/>
              </w:rPr>
              <w:t>工程量清</w:t>
            </w:r>
          </w:p>
          <w:p w:rsidR="005A7B05" w:rsidRPr="00DF3117" w:rsidRDefault="005A7B05" w:rsidP="00A553A5">
            <w:pPr>
              <w:jc w:val="center"/>
              <w:rPr>
                <w:rFonts w:ascii="宋体" w:hAnsi="宋体"/>
                <w:szCs w:val="21"/>
              </w:rPr>
            </w:pPr>
            <w:proofErr w:type="gramStart"/>
            <w:r w:rsidRPr="00DF3117">
              <w:rPr>
                <w:rFonts w:ascii="宋体" w:hAnsi="宋体" w:hint="eastAsia"/>
                <w:szCs w:val="21"/>
              </w:rPr>
              <w:lastRenderedPageBreak/>
              <w:t>单项目</w:t>
            </w:r>
            <w:proofErr w:type="gramEnd"/>
            <w:r w:rsidRPr="00DF3117">
              <w:rPr>
                <w:rFonts w:ascii="宋体" w:hAnsi="宋体" w:hint="eastAsia"/>
                <w:szCs w:val="21"/>
              </w:rPr>
              <w:t>定</w:t>
            </w:r>
          </w:p>
          <w:p w:rsidR="005A7B05" w:rsidRPr="00DF3117" w:rsidRDefault="005A7B05" w:rsidP="00A553A5">
            <w:pPr>
              <w:jc w:val="center"/>
              <w:rPr>
                <w:rFonts w:ascii="宋体" w:hAnsi="宋体"/>
                <w:szCs w:val="21"/>
              </w:rPr>
            </w:pPr>
            <w:r w:rsidRPr="00DF3117">
              <w:rPr>
                <w:rFonts w:ascii="宋体" w:hAnsi="宋体" w:hint="eastAsia"/>
                <w:szCs w:val="21"/>
              </w:rPr>
              <w:t>额人工费＋单价措施</w:t>
            </w:r>
          </w:p>
          <w:p w:rsidR="005A7B05" w:rsidRPr="00DF3117" w:rsidRDefault="005A7B05" w:rsidP="00A553A5">
            <w:pPr>
              <w:jc w:val="center"/>
              <w:rPr>
                <w:rFonts w:ascii="宋体" w:hAnsi="宋体"/>
                <w:szCs w:val="21"/>
              </w:rPr>
            </w:pPr>
            <w:r w:rsidRPr="00DF3117">
              <w:rPr>
                <w:rFonts w:ascii="宋体" w:hAnsi="宋体" w:hint="eastAsia"/>
                <w:szCs w:val="21"/>
              </w:rPr>
              <w:t>项目定额</w:t>
            </w:r>
          </w:p>
          <w:p w:rsidR="005A7B05" w:rsidRPr="00DF3117" w:rsidRDefault="005A7B05" w:rsidP="00A553A5">
            <w:pPr>
              <w:jc w:val="center"/>
              <w:rPr>
                <w:rFonts w:ascii="宋体" w:hAnsi="宋体"/>
                <w:szCs w:val="21"/>
              </w:rPr>
            </w:pPr>
            <w:r w:rsidRPr="00DF3117">
              <w:rPr>
                <w:rFonts w:ascii="宋体" w:hAnsi="宋体" w:hint="eastAsia"/>
                <w:szCs w:val="21"/>
              </w:rPr>
              <w:t>人工费</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tabs>
                <w:tab w:val="left" w:pos="180"/>
                <w:tab w:val="left" w:pos="330"/>
                <w:tab w:val="center" w:pos="522"/>
              </w:tabs>
              <w:spacing w:before="100"/>
              <w:jc w:val="center"/>
              <w:rPr>
                <w:rFonts w:ascii="宋体" w:hAnsi="宋体"/>
                <w:szCs w:val="21"/>
              </w:rPr>
            </w:pPr>
            <w:r w:rsidRPr="00DF3117">
              <w:rPr>
                <w:rFonts w:ascii="宋体" w:hAnsi="宋体" w:hint="eastAsia"/>
                <w:szCs w:val="21"/>
              </w:rPr>
              <w:lastRenderedPageBreak/>
              <w:t>0.15</w:t>
            </w:r>
          </w:p>
        </w:tc>
        <w:tc>
          <w:tcPr>
            <w:tcW w:w="3173"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rPr>
                <w:rFonts w:ascii="宋体" w:hAnsi="宋体" w:cs="宋体"/>
                <w:szCs w:val="21"/>
              </w:rPr>
            </w:pPr>
            <w:r w:rsidRPr="00DF3117">
              <w:rPr>
                <w:rFonts w:ascii="宋体" w:hAnsi="宋体" w:cs="宋体" w:hint="eastAsia"/>
                <w:szCs w:val="21"/>
              </w:rPr>
              <w:t>1、表中所列工程均为单独发包工程。房屋建筑与装饰工程、仿古</w:t>
            </w:r>
            <w:r w:rsidRPr="00DF3117">
              <w:rPr>
                <w:rFonts w:ascii="宋体" w:hAnsi="宋体" w:cs="宋体" w:hint="eastAsia"/>
                <w:szCs w:val="21"/>
              </w:rPr>
              <w:lastRenderedPageBreak/>
              <w:t>建筑工程、构筑物工程包括未单独发包的与其配套的线路、管道、设备安装工程及室内外装饰装修工程。</w:t>
            </w:r>
          </w:p>
          <w:p w:rsidR="005A7B05" w:rsidRPr="00DF3117" w:rsidRDefault="005A7B05" w:rsidP="00A553A5">
            <w:pPr>
              <w:rPr>
                <w:rFonts w:ascii="宋体" w:hAnsi="宋体" w:cs="宋体"/>
                <w:szCs w:val="21"/>
              </w:rPr>
            </w:pPr>
            <w:r w:rsidRPr="00DF3117">
              <w:rPr>
                <w:rFonts w:ascii="宋体" w:hAnsi="宋体" w:cs="宋体" w:hint="eastAsia"/>
                <w:szCs w:val="21"/>
              </w:rPr>
              <w:t>2、单独装饰工程、单独通用安装工程包括未单独发包的与其配套的工程以及单独发包的城市轨道交通工程中的通信工程、信号工程、供电工程、智能与控制系统安装工程。</w:t>
            </w:r>
          </w:p>
          <w:p w:rsidR="005A7B05" w:rsidRPr="00DF3117" w:rsidRDefault="005A7B05" w:rsidP="00A553A5">
            <w:pPr>
              <w:rPr>
                <w:rFonts w:ascii="宋体" w:hAnsi="宋体" w:cs="宋体"/>
                <w:szCs w:val="21"/>
              </w:rPr>
            </w:pPr>
            <w:r w:rsidRPr="00DF3117">
              <w:rPr>
                <w:rFonts w:ascii="宋体" w:hAnsi="宋体" w:cs="宋体" w:hint="eastAsia"/>
                <w:szCs w:val="21"/>
              </w:rPr>
              <w:t>3、市政工程包括未单独发包的与其配套的工程以及单独发包的市政给水、燃气、水处理、生活垃圾处理机械设备安装、路灯工程。</w:t>
            </w:r>
          </w:p>
          <w:p w:rsidR="005A7B05" w:rsidRPr="00DF3117" w:rsidRDefault="005A7B05" w:rsidP="00A553A5">
            <w:pPr>
              <w:rPr>
                <w:rFonts w:ascii="宋体" w:hAnsi="宋体" w:cs="宋体"/>
                <w:szCs w:val="21"/>
              </w:rPr>
            </w:pPr>
            <w:r w:rsidRPr="00DF3117">
              <w:rPr>
                <w:rFonts w:ascii="宋体" w:hAnsi="宋体" w:cs="宋体" w:hint="eastAsia"/>
                <w:szCs w:val="21"/>
              </w:rPr>
              <w:t>4、城市轨道交通工程（不含单独发包</w:t>
            </w:r>
          </w:p>
        </w:tc>
      </w:tr>
      <w:tr w:rsidR="005A7B05" w:rsidRPr="00DF3117" w:rsidTr="00A553A5">
        <w:trPr>
          <w:cantSplit/>
          <w:trHeight w:val="692"/>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lastRenderedPageBreak/>
              <w:t>二</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文明施工费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1.91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0.95</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1.34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1.34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0.87</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0.87</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1526"/>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bottom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0.87</w:t>
            </w:r>
          </w:p>
        </w:tc>
        <w:tc>
          <w:tcPr>
            <w:tcW w:w="3173" w:type="dxa"/>
            <w:vMerge/>
            <w:tcBorders>
              <w:left w:val="single" w:sz="4" w:space="0" w:color="auto"/>
              <w:bottom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691"/>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三</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安全施工费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r w:rsidRPr="00DF3117">
              <w:rPr>
                <w:rFonts w:ascii="宋体" w:hAnsi="宋体" w:hint="eastAsia"/>
                <w:szCs w:val="21"/>
              </w:rPr>
              <w:t>分部分项</w:t>
            </w:r>
          </w:p>
          <w:p w:rsidR="005A7B05" w:rsidRPr="00DF3117" w:rsidRDefault="005A7B05" w:rsidP="00A553A5">
            <w:pPr>
              <w:jc w:val="center"/>
              <w:rPr>
                <w:rFonts w:ascii="宋体" w:hAnsi="宋体"/>
                <w:szCs w:val="21"/>
              </w:rPr>
            </w:pPr>
            <w:r w:rsidRPr="00DF3117">
              <w:rPr>
                <w:rFonts w:ascii="宋体" w:hAnsi="宋体" w:hint="eastAsia"/>
                <w:szCs w:val="21"/>
              </w:rPr>
              <w:t>工程量清</w:t>
            </w:r>
          </w:p>
          <w:p w:rsidR="005A7B05" w:rsidRPr="00DF3117" w:rsidRDefault="005A7B05" w:rsidP="00A553A5">
            <w:pPr>
              <w:jc w:val="center"/>
              <w:rPr>
                <w:rFonts w:ascii="宋体" w:hAnsi="宋体"/>
                <w:szCs w:val="21"/>
              </w:rPr>
            </w:pPr>
            <w:proofErr w:type="gramStart"/>
            <w:r w:rsidRPr="00DF3117">
              <w:rPr>
                <w:rFonts w:ascii="宋体" w:hAnsi="宋体" w:hint="eastAsia"/>
                <w:szCs w:val="21"/>
              </w:rPr>
              <w:t>单项目</w:t>
            </w:r>
            <w:proofErr w:type="gramEnd"/>
            <w:r w:rsidRPr="00DF3117">
              <w:rPr>
                <w:rFonts w:ascii="宋体" w:hAnsi="宋体" w:hint="eastAsia"/>
                <w:szCs w:val="21"/>
              </w:rPr>
              <w:t>定</w:t>
            </w:r>
          </w:p>
          <w:p w:rsidR="005A7B05" w:rsidRPr="00DF3117" w:rsidRDefault="005A7B05" w:rsidP="00A553A5">
            <w:pPr>
              <w:jc w:val="center"/>
              <w:rPr>
                <w:rFonts w:ascii="宋体" w:hAnsi="宋体"/>
                <w:szCs w:val="21"/>
              </w:rPr>
            </w:pPr>
            <w:r w:rsidRPr="00DF3117">
              <w:rPr>
                <w:rFonts w:ascii="宋体" w:hAnsi="宋体" w:hint="eastAsia"/>
                <w:szCs w:val="21"/>
              </w:rPr>
              <w:t>额人工费＋单价措施</w:t>
            </w:r>
          </w:p>
          <w:p w:rsidR="005A7B05" w:rsidRPr="00DF3117" w:rsidRDefault="005A7B05" w:rsidP="00A553A5">
            <w:pPr>
              <w:jc w:val="center"/>
              <w:rPr>
                <w:rFonts w:ascii="宋体" w:hAnsi="宋体"/>
                <w:szCs w:val="21"/>
              </w:rPr>
            </w:pPr>
            <w:r w:rsidRPr="00DF3117">
              <w:rPr>
                <w:rFonts w:ascii="宋体" w:hAnsi="宋体" w:hint="eastAsia"/>
                <w:szCs w:val="21"/>
              </w:rPr>
              <w:t>项目定额</w:t>
            </w:r>
          </w:p>
          <w:p w:rsidR="005A7B05" w:rsidRPr="00DF3117" w:rsidRDefault="005A7B05" w:rsidP="00A553A5">
            <w:pPr>
              <w:jc w:val="center"/>
              <w:rPr>
                <w:rFonts w:ascii="宋体" w:hAnsi="宋体"/>
                <w:szCs w:val="21"/>
              </w:rPr>
            </w:pPr>
            <w:r w:rsidRPr="00DF3117">
              <w:rPr>
                <w:rFonts w:ascii="宋体" w:hAnsi="宋体" w:hint="eastAsia"/>
                <w:szCs w:val="21"/>
              </w:rPr>
              <w:t>人工费</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3.53</w:t>
            </w:r>
          </w:p>
        </w:tc>
        <w:tc>
          <w:tcPr>
            <w:tcW w:w="3173" w:type="dxa"/>
            <w:vMerge w:val="restart"/>
            <w:tcBorders>
              <w:top w:val="single" w:sz="4" w:space="0" w:color="auto"/>
              <w:left w:val="single" w:sz="4" w:space="0" w:color="auto"/>
              <w:right w:val="single" w:sz="4" w:space="0" w:color="auto"/>
            </w:tcBorders>
            <w:shd w:val="clear" w:color="auto" w:fill="auto"/>
            <w:vAlign w:val="center"/>
          </w:tcPr>
          <w:p w:rsidR="005A7B05" w:rsidRPr="00DF3117" w:rsidRDefault="005A7B05" w:rsidP="00A553A5">
            <w:pPr>
              <w:rPr>
                <w:rFonts w:ascii="宋体" w:hAnsi="宋体" w:cs="宋体"/>
                <w:szCs w:val="21"/>
              </w:rPr>
            </w:pPr>
            <w:r w:rsidRPr="00DF3117">
              <w:rPr>
                <w:rFonts w:ascii="宋体" w:hAnsi="宋体" w:cs="宋体" w:hint="eastAsia"/>
                <w:szCs w:val="21"/>
              </w:rPr>
              <w:t>的通信工程、信号工程、供电工程、智能与控制系统安装工程）包括未单独发包的与其配套的工程。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5、园林绿化工程包括未单独发包的园路、园桥、亭廊等与其配套的工程。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6、维修加固工程、拆除工程包括未单独发包的与其配套的工程。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7、单独土石方、单独地基处理与边坡支护工程、单独桩基工程包括未单独发包的与其配套的工程。</w:t>
            </w:r>
          </w:p>
          <w:p w:rsidR="005A7B05" w:rsidRPr="00DF3117" w:rsidRDefault="005A7B05" w:rsidP="00A553A5">
            <w:pPr>
              <w:rPr>
                <w:rFonts w:ascii="宋体" w:hAnsi="宋体" w:cs="宋体"/>
                <w:szCs w:val="21"/>
              </w:rPr>
            </w:pPr>
            <w:r w:rsidRPr="00DF3117">
              <w:rPr>
                <w:rFonts w:ascii="宋体" w:hAnsi="宋体" w:cs="宋体" w:hint="eastAsia"/>
                <w:szCs w:val="21"/>
              </w:rPr>
              <w:t>8、房屋建筑与装饰工程、仿古建筑工程、构筑物工程、市政工程、城市轨道交通工程安全施工费已包括施工现场设置安防监控系统设施的费用，如未设置或经现场评价不符合《四川省住房和城乡建设厅关于开展建设工程质量安全数字化管理工作的通知》</w:t>
            </w:r>
            <w:r>
              <w:rPr>
                <w:rFonts w:ascii="宋体" w:hAnsi="宋体" w:cs="宋体" w:hint="eastAsia"/>
                <w:szCs w:val="21"/>
              </w:rPr>
              <w:t xml:space="preserve"> </w:t>
            </w:r>
            <w:r w:rsidRPr="00DF3117">
              <w:rPr>
                <w:rFonts w:ascii="宋体" w:hAnsi="宋体" w:cs="宋体" w:hint="eastAsia"/>
                <w:szCs w:val="21"/>
              </w:rPr>
              <w:t>（</w:t>
            </w:r>
            <w:proofErr w:type="gramStart"/>
            <w:r w:rsidRPr="00DF3117">
              <w:rPr>
                <w:rFonts w:ascii="宋体" w:hAnsi="宋体" w:cs="宋体"/>
                <w:szCs w:val="21"/>
              </w:rPr>
              <w:t>川建质安</w:t>
            </w:r>
            <w:proofErr w:type="gramEnd"/>
            <w:r w:rsidRPr="00DF3117">
              <w:rPr>
                <w:rFonts w:ascii="宋体" w:hAnsi="宋体" w:cs="宋体"/>
                <w:szCs w:val="21"/>
              </w:rPr>
              <w:t>发[2013]39号</w:t>
            </w:r>
            <w:r w:rsidRPr="00DF3117">
              <w:rPr>
                <w:rFonts w:ascii="宋体" w:hAnsi="宋体" w:cs="宋体" w:hint="eastAsia"/>
                <w:szCs w:val="21"/>
              </w:rPr>
              <w:t>）规定，安全施工费费率乘以系数0.75。</w:t>
            </w: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1.58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cs="宋体" w:hint="eastAsia"/>
                <w:szCs w:val="21"/>
              </w:rPr>
              <w:t>市政工程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1.47</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567"/>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1.47</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rPr>
          <w:cantSplit/>
          <w:trHeight w:val="692"/>
          <w:jc w:val="center"/>
        </w:trPr>
        <w:tc>
          <w:tcPr>
            <w:tcW w:w="439"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1.21</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692"/>
          <w:jc w:val="center"/>
        </w:trPr>
        <w:tc>
          <w:tcPr>
            <w:tcW w:w="439" w:type="dxa"/>
            <w:vMerge w:val="restart"/>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四</w:t>
            </w:r>
          </w:p>
        </w:tc>
        <w:tc>
          <w:tcPr>
            <w:tcW w:w="877" w:type="dxa"/>
            <w:vMerge w:val="restart"/>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临时设施费</w:t>
            </w: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2.63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jc w:val="center"/>
              <w:rPr>
                <w:rFonts w:ascii="宋体" w:hAnsi="宋体" w:cs="宋体"/>
                <w:szCs w:val="21"/>
              </w:rPr>
            </w:pPr>
          </w:p>
        </w:tc>
        <w:tc>
          <w:tcPr>
            <w:tcW w:w="877" w:type="dxa"/>
            <w:vMerge/>
            <w:vAlign w:val="center"/>
          </w:tcPr>
          <w:p w:rsidR="005A7B05" w:rsidRPr="00DF3117" w:rsidRDefault="005A7B05" w:rsidP="00A553A5">
            <w:pPr>
              <w:jc w:val="center"/>
              <w:rPr>
                <w:rFonts w:ascii="宋体" w:hAnsi="宋体" w:cs="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2.63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jc w:val="center"/>
              <w:rPr>
                <w:rFonts w:ascii="宋体" w:hAnsi="宋体" w:cs="宋体"/>
                <w:szCs w:val="21"/>
              </w:rPr>
            </w:pPr>
          </w:p>
        </w:tc>
        <w:tc>
          <w:tcPr>
            <w:tcW w:w="877" w:type="dxa"/>
            <w:vMerge/>
            <w:vAlign w:val="center"/>
          </w:tcPr>
          <w:p w:rsidR="005A7B05" w:rsidRPr="00DF3117" w:rsidRDefault="005A7B05" w:rsidP="00A553A5">
            <w:pPr>
              <w:jc w:val="center"/>
              <w:rPr>
                <w:rFonts w:ascii="宋体" w:hAnsi="宋体" w:cs="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2.63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jc w:val="center"/>
              <w:rPr>
                <w:rFonts w:ascii="宋体" w:hAnsi="宋体" w:cs="宋体"/>
                <w:szCs w:val="21"/>
              </w:rPr>
            </w:pPr>
          </w:p>
        </w:tc>
        <w:tc>
          <w:tcPr>
            <w:tcW w:w="877" w:type="dxa"/>
            <w:vMerge/>
            <w:vAlign w:val="center"/>
          </w:tcPr>
          <w:p w:rsidR="005A7B05" w:rsidRPr="00DF3117" w:rsidRDefault="005A7B05" w:rsidP="00A553A5">
            <w:pPr>
              <w:jc w:val="center"/>
              <w:rPr>
                <w:rFonts w:ascii="宋体" w:hAnsi="宋体" w:cs="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2.63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jc w:val="center"/>
              <w:rPr>
                <w:rFonts w:ascii="宋体" w:hAnsi="宋体" w:cs="宋体"/>
                <w:szCs w:val="21"/>
              </w:rPr>
            </w:pPr>
          </w:p>
        </w:tc>
        <w:tc>
          <w:tcPr>
            <w:tcW w:w="877" w:type="dxa"/>
            <w:vMerge/>
            <w:vAlign w:val="center"/>
          </w:tcPr>
          <w:p w:rsidR="005A7B05" w:rsidRPr="00DF3117" w:rsidRDefault="005A7B05" w:rsidP="00A553A5">
            <w:pPr>
              <w:jc w:val="center"/>
              <w:rPr>
                <w:rFonts w:ascii="宋体" w:hAnsi="宋体" w:cs="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2.37</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39" w:type="dxa"/>
            <w:vMerge/>
            <w:vAlign w:val="center"/>
          </w:tcPr>
          <w:p w:rsidR="005A7B05" w:rsidRPr="00DF3117" w:rsidRDefault="005A7B05" w:rsidP="00A553A5">
            <w:pPr>
              <w:jc w:val="center"/>
              <w:rPr>
                <w:rFonts w:ascii="宋体" w:hAnsi="宋体" w:cs="宋体"/>
                <w:szCs w:val="21"/>
              </w:rPr>
            </w:pPr>
          </w:p>
        </w:tc>
        <w:tc>
          <w:tcPr>
            <w:tcW w:w="877" w:type="dxa"/>
            <w:vMerge/>
            <w:vAlign w:val="center"/>
          </w:tcPr>
          <w:p w:rsidR="005A7B05" w:rsidRPr="00DF3117" w:rsidRDefault="005A7B05" w:rsidP="00A553A5">
            <w:pPr>
              <w:jc w:val="center"/>
              <w:rPr>
                <w:rFonts w:ascii="宋体" w:hAnsi="宋体" w:cs="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2.08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r w:rsidR="005A7B05" w:rsidRPr="00DF3117" w:rsidTr="00A553A5">
        <w:tblPrEx>
          <w:tblBorders>
            <w:insideH w:val="single" w:sz="4" w:space="0" w:color="auto"/>
            <w:insideV w:val="single" w:sz="4" w:space="0" w:color="auto"/>
          </w:tblBorders>
        </w:tblPrEx>
        <w:trPr>
          <w:cantSplit/>
          <w:trHeight w:val="692"/>
          <w:jc w:val="center"/>
        </w:trPr>
        <w:tc>
          <w:tcPr>
            <w:tcW w:w="439" w:type="dxa"/>
            <w:vMerge/>
            <w:vAlign w:val="center"/>
          </w:tcPr>
          <w:p w:rsidR="005A7B05" w:rsidRPr="00DF3117" w:rsidRDefault="005A7B05" w:rsidP="00A553A5">
            <w:pPr>
              <w:jc w:val="center"/>
              <w:rPr>
                <w:rFonts w:ascii="宋体" w:hAnsi="宋体" w:cs="宋体"/>
                <w:szCs w:val="21"/>
              </w:rPr>
            </w:pPr>
          </w:p>
        </w:tc>
        <w:tc>
          <w:tcPr>
            <w:tcW w:w="877" w:type="dxa"/>
            <w:vMerge/>
            <w:vAlign w:val="center"/>
          </w:tcPr>
          <w:p w:rsidR="005A7B05" w:rsidRPr="00DF3117" w:rsidRDefault="005A7B05" w:rsidP="00A553A5">
            <w:pPr>
              <w:jc w:val="center"/>
              <w:rPr>
                <w:rFonts w:ascii="宋体" w:hAnsi="宋体" w:cs="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c>
          <w:tcPr>
            <w:tcW w:w="992" w:type="dxa"/>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2.08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cs="宋体"/>
                <w:szCs w:val="21"/>
              </w:rPr>
            </w:pPr>
          </w:p>
        </w:tc>
      </w:tr>
    </w:tbl>
    <w:p w:rsidR="005A7B05" w:rsidRDefault="005A7B05" w:rsidP="005A7B05">
      <w:pPr>
        <w:spacing w:line="300" w:lineRule="exact"/>
        <w:jc w:val="left"/>
        <w:rPr>
          <w:rFonts w:ascii="宋体"/>
          <w:spacing w:val="6"/>
        </w:rPr>
      </w:pPr>
    </w:p>
    <w:p w:rsidR="005A7B05" w:rsidRDefault="005A7B05" w:rsidP="005A7B05">
      <w:pPr>
        <w:spacing w:line="360" w:lineRule="auto"/>
        <w:rPr>
          <w:rFonts w:ascii="宋体" w:hint="eastAsia"/>
          <w:spacing w:val="6"/>
          <w:sz w:val="24"/>
        </w:rPr>
      </w:pPr>
    </w:p>
    <w:p w:rsidR="005A7B05" w:rsidRDefault="005A7B05" w:rsidP="005A7B05">
      <w:pPr>
        <w:spacing w:line="360" w:lineRule="auto"/>
        <w:rPr>
          <w:rFonts w:ascii="宋体" w:hint="eastAsia"/>
          <w:spacing w:val="6"/>
          <w:sz w:val="24"/>
        </w:rPr>
      </w:pPr>
    </w:p>
    <w:p w:rsidR="005A7B05" w:rsidRPr="00464CC4" w:rsidRDefault="005A7B05" w:rsidP="005A7B05">
      <w:pPr>
        <w:spacing w:line="360" w:lineRule="auto"/>
        <w:rPr>
          <w:rFonts w:ascii="宋体"/>
          <w:spacing w:val="6"/>
          <w:sz w:val="24"/>
        </w:rPr>
      </w:pPr>
      <w:r w:rsidRPr="00464CC4">
        <w:rPr>
          <w:rFonts w:ascii="宋体" w:hint="eastAsia"/>
          <w:spacing w:val="6"/>
          <w:sz w:val="24"/>
        </w:rPr>
        <w:t>3.工程不在市区、县城、镇时</w:t>
      </w:r>
    </w:p>
    <w:tbl>
      <w:tblPr>
        <w:tblW w:w="99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
        <w:gridCol w:w="856"/>
        <w:gridCol w:w="3334"/>
        <w:gridCol w:w="1134"/>
        <w:gridCol w:w="992"/>
        <w:gridCol w:w="3173"/>
      </w:tblGrid>
      <w:tr w:rsidR="005A7B05" w:rsidRPr="00DF3117" w:rsidTr="00A553A5">
        <w:trPr>
          <w:cantSplit/>
          <w:trHeight w:val="808"/>
          <w:tblHeader/>
          <w:jc w:val="center"/>
        </w:trPr>
        <w:tc>
          <w:tcPr>
            <w:tcW w:w="460"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序</w:t>
            </w:r>
          </w:p>
          <w:p w:rsidR="005A7B05" w:rsidRPr="00DF3117" w:rsidRDefault="005A7B05" w:rsidP="00A553A5">
            <w:pPr>
              <w:jc w:val="center"/>
              <w:rPr>
                <w:rFonts w:ascii="宋体" w:hAnsi="宋体" w:cs="宋体"/>
                <w:szCs w:val="21"/>
              </w:rPr>
            </w:pPr>
            <w:r w:rsidRPr="00DF3117">
              <w:rPr>
                <w:rFonts w:ascii="宋体" w:hAnsi="宋体" w:cs="宋体" w:hint="eastAsia"/>
                <w:szCs w:val="21"/>
              </w:rPr>
              <w:t>号</w:t>
            </w:r>
          </w:p>
        </w:tc>
        <w:tc>
          <w:tcPr>
            <w:tcW w:w="856"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项目</w:t>
            </w:r>
          </w:p>
          <w:p w:rsidR="005A7B05" w:rsidRPr="00DF3117" w:rsidRDefault="005A7B05" w:rsidP="00A553A5">
            <w:pPr>
              <w:jc w:val="center"/>
              <w:rPr>
                <w:rFonts w:ascii="宋体" w:hAnsi="宋体" w:cs="宋体"/>
                <w:szCs w:val="21"/>
              </w:rPr>
            </w:pPr>
            <w:r w:rsidRPr="00DF3117">
              <w:rPr>
                <w:rFonts w:ascii="宋体" w:hAnsi="宋体" w:cs="宋体" w:hint="eastAsia"/>
                <w:szCs w:val="21"/>
              </w:rPr>
              <w:t>名称</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工程类型</w:t>
            </w:r>
          </w:p>
        </w:tc>
        <w:tc>
          <w:tcPr>
            <w:tcW w:w="11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取费基础</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基本费费率（%）</w:t>
            </w:r>
          </w:p>
        </w:tc>
        <w:tc>
          <w:tcPr>
            <w:tcW w:w="3173"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说  明</w:t>
            </w:r>
          </w:p>
        </w:tc>
      </w:tr>
      <w:tr w:rsidR="005A7B05" w:rsidRPr="00DF3117" w:rsidTr="00A553A5">
        <w:trPr>
          <w:cantSplit/>
          <w:trHeight w:val="809"/>
          <w:jc w:val="center"/>
        </w:trPr>
        <w:tc>
          <w:tcPr>
            <w:tcW w:w="460"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roofErr w:type="gramStart"/>
            <w:r w:rsidRPr="00DF3117">
              <w:rPr>
                <w:rFonts w:ascii="宋体" w:hAnsi="宋体" w:cs="宋体" w:hint="eastAsia"/>
                <w:szCs w:val="21"/>
              </w:rPr>
              <w:t>一</w:t>
            </w:r>
            <w:proofErr w:type="gramEnd"/>
          </w:p>
        </w:tc>
        <w:tc>
          <w:tcPr>
            <w:tcW w:w="856"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环境保护费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分部分项</w:t>
            </w:r>
          </w:p>
          <w:p w:rsidR="005A7B05" w:rsidRPr="00DF3117" w:rsidRDefault="005A7B05" w:rsidP="00A553A5">
            <w:pPr>
              <w:jc w:val="center"/>
              <w:rPr>
                <w:rFonts w:ascii="宋体" w:hAnsi="宋体"/>
                <w:szCs w:val="21"/>
              </w:rPr>
            </w:pPr>
            <w:r w:rsidRPr="00DF3117">
              <w:rPr>
                <w:rFonts w:ascii="宋体" w:hAnsi="宋体" w:hint="eastAsia"/>
                <w:szCs w:val="21"/>
              </w:rPr>
              <w:t>工程量清</w:t>
            </w:r>
          </w:p>
          <w:p w:rsidR="005A7B05" w:rsidRPr="00DF3117" w:rsidRDefault="005A7B05" w:rsidP="00A553A5">
            <w:pPr>
              <w:jc w:val="center"/>
              <w:rPr>
                <w:rFonts w:ascii="宋体" w:hAnsi="宋体"/>
                <w:szCs w:val="21"/>
              </w:rPr>
            </w:pPr>
            <w:proofErr w:type="gramStart"/>
            <w:r w:rsidRPr="00DF3117">
              <w:rPr>
                <w:rFonts w:ascii="宋体" w:hAnsi="宋体" w:hint="eastAsia"/>
                <w:szCs w:val="21"/>
              </w:rPr>
              <w:t>单项目</w:t>
            </w:r>
            <w:proofErr w:type="gramEnd"/>
            <w:r w:rsidRPr="00DF3117">
              <w:rPr>
                <w:rFonts w:ascii="宋体" w:hAnsi="宋体" w:hint="eastAsia"/>
                <w:szCs w:val="21"/>
              </w:rPr>
              <w:t>定</w:t>
            </w:r>
          </w:p>
          <w:p w:rsidR="005A7B05" w:rsidRPr="00DF3117" w:rsidRDefault="005A7B05" w:rsidP="00A553A5">
            <w:pPr>
              <w:jc w:val="center"/>
              <w:rPr>
                <w:rFonts w:ascii="宋体" w:hAnsi="宋体"/>
                <w:szCs w:val="21"/>
              </w:rPr>
            </w:pPr>
            <w:r w:rsidRPr="00DF3117">
              <w:rPr>
                <w:rFonts w:ascii="宋体" w:hAnsi="宋体" w:hint="eastAsia"/>
                <w:szCs w:val="21"/>
              </w:rPr>
              <w:t>额人工费＋单价措施</w:t>
            </w:r>
          </w:p>
          <w:p w:rsidR="005A7B05" w:rsidRPr="00DF3117" w:rsidRDefault="005A7B05" w:rsidP="00A553A5">
            <w:pPr>
              <w:jc w:val="center"/>
              <w:rPr>
                <w:rFonts w:ascii="宋体" w:hAnsi="宋体"/>
                <w:szCs w:val="21"/>
              </w:rPr>
            </w:pPr>
            <w:r w:rsidRPr="00DF3117">
              <w:rPr>
                <w:rFonts w:ascii="宋体" w:hAnsi="宋体" w:hint="eastAsia"/>
                <w:szCs w:val="21"/>
              </w:rPr>
              <w:t>项目定额</w:t>
            </w:r>
          </w:p>
          <w:p w:rsidR="005A7B05" w:rsidRPr="00DF3117" w:rsidRDefault="005A7B05" w:rsidP="00A553A5">
            <w:pPr>
              <w:jc w:val="center"/>
              <w:rPr>
                <w:rFonts w:ascii="宋体" w:hAnsi="宋体"/>
                <w:szCs w:val="21"/>
              </w:rPr>
            </w:pPr>
            <w:r w:rsidRPr="00DF3117">
              <w:rPr>
                <w:rFonts w:ascii="宋体" w:hAnsi="宋体" w:hint="eastAsia"/>
                <w:szCs w:val="21"/>
              </w:rPr>
              <w:t>人工费</w:t>
            </w: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tabs>
                <w:tab w:val="left" w:pos="180"/>
                <w:tab w:val="left" w:pos="330"/>
                <w:tab w:val="center" w:pos="522"/>
              </w:tabs>
              <w:spacing w:before="100"/>
              <w:jc w:val="center"/>
              <w:rPr>
                <w:rFonts w:ascii="宋体" w:hAnsi="宋体"/>
                <w:szCs w:val="21"/>
              </w:rPr>
            </w:pPr>
            <w:r w:rsidRPr="00DF3117">
              <w:rPr>
                <w:rFonts w:ascii="宋体" w:hAnsi="宋体" w:hint="eastAsia"/>
                <w:szCs w:val="21"/>
              </w:rPr>
              <w:t>0.12</w:t>
            </w:r>
          </w:p>
        </w:tc>
        <w:tc>
          <w:tcPr>
            <w:tcW w:w="3173" w:type="dxa"/>
            <w:vMerge w:val="restart"/>
            <w:tcBorders>
              <w:top w:val="single" w:sz="4" w:space="0" w:color="auto"/>
              <w:left w:val="single" w:sz="4" w:space="0" w:color="auto"/>
              <w:right w:val="single" w:sz="4" w:space="0" w:color="auto"/>
            </w:tcBorders>
            <w:shd w:val="clear" w:color="auto" w:fill="auto"/>
            <w:vAlign w:val="center"/>
          </w:tcPr>
          <w:p w:rsidR="005A7B05" w:rsidRPr="00D03097" w:rsidRDefault="005A7B05" w:rsidP="00A553A5">
            <w:pPr>
              <w:rPr>
                <w:rFonts w:ascii="宋体" w:hAnsi="宋体" w:cs="宋体"/>
                <w:szCs w:val="21"/>
              </w:rPr>
            </w:pPr>
            <w:r w:rsidRPr="00D03097">
              <w:rPr>
                <w:rFonts w:ascii="宋体" w:hAnsi="宋体" w:cs="宋体" w:hint="eastAsia"/>
                <w:szCs w:val="21"/>
              </w:rPr>
              <w:t>1、表中所列工程均为单独发包工程。房屋建筑与装饰工程、仿古建筑工程、构筑物工程包括未单独发包的与其配套的线路、管道、设备安装工程及室内外装饰装修工程。</w:t>
            </w:r>
          </w:p>
          <w:p w:rsidR="005A7B05" w:rsidRPr="00D03097" w:rsidRDefault="005A7B05" w:rsidP="00A553A5">
            <w:pPr>
              <w:rPr>
                <w:rFonts w:ascii="宋体" w:hAnsi="宋体" w:cs="宋体"/>
                <w:szCs w:val="21"/>
              </w:rPr>
            </w:pPr>
            <w:r w:rsidRPr="00D03097">
              <w:rPr>
                <w:rFonts w:ascii="宋体" w:hAnsi="宋体" w:cs="宋体" w:hint="eastAsia"/>
                <w:szCs w:val="21"/>
              </w:rPr>
              <w:t>2、单独装饰工程、单独通用安装工程包括未单独发包的与其配套的工程以及单独发包的城市轨道交通工程中的通信工程、信号工程、供电工程、智能与控制系统安装工程。</w:t>
            </w:r>
          </w:p>
          <w:p w:rsidR="005A7B05" w:rsidRPr="00D03097" w:rsidRDefault="005A7B05" w:rsidP="00A553A5">
            <w:pPr>
              <w:rPr>
                <w:rFonts w:ascii="宋体" w:hAnsi="宋体" w:cs="宋体"/>
                <w:szCs w:val="21"/>
              </w:rPr>
            </w:pPr>
            <w:r w:rsidRPr="00D03097">
              <w:rPr>
                <w:rFonts w:ascii="宋体" w:hAnsi="宋体" w:cs="宋体" w:hint="eastAsia"/>
                <w:szCs w:val="21"/>
              </w:rPr>
              <w:t>3、市政工程包括未单独发包的与其配套的工程以及单独发包的市政给水、燃气、水处理、生活垃圾处理机械设备安装、路灯工程。</w:t>
            </w:r>
          </w:p>
          <w:p w:rsidR="005A7B05" w:rsidRPr="00D03097" w:rsidRDefault="005A7B05" w:rsidP="00A553A5">
            <w:pPr>
              <w:rPr>
                <w:rFonts w:ascii="宋体" w:hAnsi="宋体" w:cs="宋体"/>
                <w:szCs w:val="21"/>
              </w:rPr>
            </w:pPr>
            <w:r w:rsidRPr="00D03097">
              <w:rPr>
                <w:rFonts w:ascii="宋体" w:hAnsi="宋体" w:cs="宋体" w:hint="eastAsia"/>
                <w:szCs w:val="21"/>
              </w:rPr>
              <w:t>4、城市轨道交通工程（不含单独发包的通信工程、信号工程、供电工程、智能与控制系统安装工程）包括未单独发包的与其配套的工程。</w:t>
            </w:r>
          </w:p>
        </w:tc>
      </w:tr>
      <w:tr w:rsidR="005A7B05" w:rsidRPr="00DF3117" w:rsidTr="00A553A5">
        <w:trPr>
          <w:cantSplit/>
          <w:trHeight w:val="809"/>
          <w:jc w:val="center"/>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二</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文明施工费</w:t>
            </w: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1.47</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0.74</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1.03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1.03</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0.68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0.68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2255"/>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0.68</w:t>
            </w:r>
          </w:p>
        </w:tc>
        <w:tc>
          <w:tcPr>
            <w:tcW w:w="3173" w:type="dxa"/>
            <w:vMerge/>
            <w:tcBorders>
              <w:left w:val="single" w:sz="4" w:space="0" w:color="auto"/>
              <w:right w:val="single" w:sz="4" w:space="0" w:color="auto"/>
            </w:tcBorders>
            <w:shd w:val="clear" w:color="auto" w:fill="auto"/>
            <w:vAlign w:val="center"/>
          </w:tcPr>
          <w:p w:rsidR="005A7B05" w:rsidRPr="00DF3117" w:rsidRDefault="005A7B05" w:rsidP="00A553A5">
            <w:pPr>
              <w:jc w:val="center"/>
              <w:rPr>
                <w:rFonts w:ascii="宋体" w:hAnsi="宋体"/>
                <w:szCs w:val="21"/>
              </w:rPr>
            </w:pPr>
          </w:p>
        </w:tc>
      </w:tr>
      <w:tr w:rsidR="005A7B05" w:rsidRPr="00DF3117" w:rsidTr="00A553A5">
        <w:trPr>
          <w:cantSplit/>
          <w:trHeight w:val="808"/>
          <w:jc w:val="center"/>
        </w:trPr>
        <w:tc>
          <w:tcPr>
            <w:tcW w:w="460" w:type="dxa"/>
            <w:vMerge w:val="restart"/>
            <w:tcBorders>
              <w:top w:val="single" w:sz="4" w:space="0" w:color="auto"/>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三</w:t>
            </w:r>
          </w:p>
        </w:tc>
        <w:tc>
          <w:tcPr>
            <w:tcW w:w="856" w:type="dxa"/>
            <w:vMerge w:val="restart"/>
            <w:tcBorders>
              <w:top w:val="single" w:sz="4" w:space="0" w:color="auto"/>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安全施工费</w:t>
            </w:r>
          </w:p>
        </w:tc>
        <w:tc>
          <w:tcPr>
            <w:tcW w:w="3334" w:type="dxa"/>
            <w:tcBorders>
              <w:top w:val="single" w:sz="4" w:space="0" w:color="auto"/>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cs="宋体" w:hint="eastAsia"/>
                <w:szCs w:val="21"/>
              </w:rPr>
              <w:t>房屋建筑与装饰工程、仿古建筑工程、构筑物工程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分部分项</w:t>
            </w:r>
          </w:p>
          <w:p w:rsidR="005A7B05" w:rsidRPr="00DF3117" w:rsidRDefault="005A7B05" w:rsidP="00A553A5">
            <w:pPr>
              <w:jc w:val="center"/>
              <w:rPr>
                <w:rFonts w:ascii="宋体" w:hAnsi="宋体"/>
                <w:szCs w:val="21"/>
              </w:rPr>
            </w:pPr>
            <w:r w:rsidRPr="00DF3117">
              <w:rPr>
                <w:rFonts w:ascii="宋体" w:hAnsi="宋体" w:hint="eastAsia"/>
                <w:szCs w:val="21"/>
              </w:rPr>
              <w:t>工程量清</w:t>
            </w:r>
          </w:p>
          <w:p w:rsidR="005A7B05" w:rsidRPr="00DF3117" w:rsidRDefault="005A7B05" w:rsidP="00A553A5">
            <w:pPr>
              <w:jc w:val="center"/>
              <w:rPr>
                <w:rFonts w:ascii="宋体" w:hAnsi="宋体"/>
                <w:szCs w:val="21"/>
              </w:rPr>
            </w:pPr>
            <w:proofErr w:type="gramStart"/>
            <w:r w:rsidRPr="00DF3117">
              <w:rPr>
                <w:rFonts w:ascii="宋体" w:hAnsi="宋体" w:hint="eastAsia"/>
                <w:szCs w:val="21"/>
              </w:rPr>
              <w:t>单项目</w:t>
            </w:r>
            <w:proofErr w:type="gramEnd"/>
            <w:r w:rsidRPr="00DF3117">
              <w:rPr>
                <w:rFonts w:ascii="宋体" w:hAnsi="宋体" w:hint="eastAsia"/>
                <w:szCs w:val="21"/>
              </w:rPr>
              <w:t>定</w:t>
            </w:r>
          </w:p>
          <w:p w:rsidR="005A7B05" w:rsidRPr="00DF3117" w:rsidRDefault="005A7B05" w:rsidP="00A553A5">
            <w:pPr>
              <w:jc w:val="center"/>
              <w:rPr>
                <w:rFonts w:ascii="宋体" w:hAnsi="宋体"/>
                <w:szCs w:val="21"/>
              </w:rPr>
            </w:pPr>
            <w:r w:rsidRPr="00DF3117">
              <w:rPr>
                <w:rFonts w:ascii="宋体" w:hAnsi="宋体" w:hint="eastAsia"/>
                <w:szCs w:val="21"/>
              </w:rPr>
              <w:t>额人工费＋单价措施</w:t>
            </w:r>
          </w:p>
          <w:p w:rsidR="005A7B05" w:rsidRPr="00DF3117" w:rsidRDefault="005A7B05" w:rsidP="00A553A5">
            <w:pPr>
              <w:jc w:val="center"/>
              <w:rPr>
                <w:rFonts w:ascii="宋体" w:hAnsi="宋体"/>
                <w:szCs w:val="21"/>
              </w:rPr>
            </w:pPr>
            <w:r w:rsidRPr="00DF3117">
              <w:rPr>
                <w:rFonts w:ascii="宋体" w:hAnsi="宋体" w:hint="eastAsia"/>
                <w:szCs w:val="21"/>
              </w:rPr>
              <w:lastRenderedPageBreak/>
              <w:t>项目定额</w:t>
            </w:r>
          </w:p>
          <w:p w:rsidR="005A7B05" w:rsidRPr="00DF3117" w:rsidRDefault="005A7B05" w:rsidP="00A553A5">
            <w:pPr>
              <w:jc w:val="center"/>
              <w:rPr>
                <w:rFonts w:ascii="宋体" w:hAnsi="宋体"/>
                <w:szCs w:val="21"/>
              </w:rPr>
            </w:pPr>
            <w:r w:rsidRPr="00DF3117">
              <w:rPr>
                <w:rFonts w:ascii="宋体" w:hAnsi="宋体" w:hint="eastAsia"/>
                <w:szCs w:val="21"/>
              </w:rPr>
              <w:t>人工费</w:t>
            </w:r>
          </w:p>
        </w:tc>
        <w:tc>
          <w:tcPr>
            <w:tcW w:w="992" w:type="dxa"/>
            <w:tcBorders>
              <w:top w:val="single" w:sz="4" w:space="0" w:color="auto"/>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lastRenderedPageBreak/>
              <w:t>2.71</w:t>
            </w:r>
          </w:p>
        </w:tc>
        <w:tc>
          <w:tcPr>
            <w:tcW w:w="3173" w:type="dxa"/>
            <w:vMerge w:val="restart"/>
            <w:tcBorders>
              <w:top w:val="single" w:sz="4" w:space="0" w:color="auto"/>
              <w:left w:val="single" w:sz="4" w:space="0" w:color="auto"/>
              <w:right w:val="single" w:sz="4" w:space="0" w:color="auto"/>
            </w:tcBorders>
            <w:vAlign w:val="center"/>
          </w:tcPr>
          <w:p w:rsidR="005A7B05" w:rsidRPr="004D6678" w:rsidRDefault="005A7B05" w:rsidP="00A553A5">
            <w:pPr>
              <w:rPr>
                <w:rFonts w:ascii="宋体" w:hAnsi="宋体"/>
              </w:rPr>
            </w:pPr>
            <w:r w:rsidRPr="004D6678">
              <w:rPr>
                <w:rFonts w:ascii="宋体" w:hAnsi="宋体" w:hint="eastAsia"/>
              </w:rPr>
              <w:t>5、园林绿化工程包括未单独发包的园路、园桥、亭廊等与其配套的工程。</w:t>
            </w:r>
          </w:p>
          <w:p w:rsidR="005A7B05" w:rsidRPr="004D6678" w:rsidRDefault="005A7B05" w:rsidP="00A553A5">
            <w:pPr>
              <w:rPr>
                <w:rFonts w:ascii="宋体" w:hAnsi="宋体"/>
              </w:rPr>
            </w:pPr>
            <w:r w:rsidRPr="004D6678">
              <w:rPr>
                <w:rFonts w:ascii="宋体" w:hAnsi="宋体" w:hint="eastAsia"/>
              </w:rPr>
              <w:t>6、维修加固工程、拆除工程包括未单独发包的与其配套的工程。</w:t>
            </w:r>
          </w:p>
          <w:p w:rsidR="005A7B05" w:rsidRPr="004D6678" w:rsidRDefault="005A7B05" w:rsidP="00A553A5">
            <w:pPr>
              <w:rPr>
                <w:rFonts w:ascii="宋体" w:hAnsi="宋体" w:hint="eastAsia"/>
              </w:rPr>
            </w:pPr>
            <w:r w:rsidRPr="004D6678">
              <w:rPr>
                <w:rFonts w:ascii="宋体" w:hAnsi="宋体" w:hint="eastAsia"/>
              </w:rPr>
              <w:t>7、单独土石方、单独地基处理与</w:t>
            </w:r>
            <w:r w:rsidRPr="004D6678">
              <w:rPr>
                <w:rFonts w:ascii="宋体" w:hAnsi="宋体" w:hint="eastAsia"/>
              </w:rPr>
              <w:lastRenderedPageBreak/>
              <w:t>边坡支护工程、单独桩基工程包括未单独发包的与其配套的工程。</w:t>
            </w:r>
          </w:p>
          <w:p w:rsidR="005A7B05" w:rsidRPr="00DF3117" w:rsidRDefault="005A7B05" w:rsidP="00A553A5">
            <w:r w:rsidRPr="004D6678">
              <w:rPr>
                <w:rFonts w:ascii="宋体" w:hAnsi="宋体" w:hint="eastAsia"/>
              </w:rPr>
              <w:t>8、房屋建筑与装饰工程、仿古建筑工程、构筑物工程、市政工程、城市轨道交通工程安全施工费已包括施工现场设置安防监控系统设施的费用，如未设置或经现场评价不符合《四川省住房和城乡建设厅关于开展建设工程质量安全数字化管理工作的通知》 （</w:t>
            </w:r>
            <w:proofErr w:type="gramStart"/>
            <w:r w:rsidRPr="004D6678">
              <w:rPr>
                <w:rFonts w:ascii="宋体" w:hAnsi="宋体"/>
              </w:rPr>
              <w:t>川建质安</w:t>
            </w:r>
            <w:proofErr w:type="gramEnd"/>
            <w:r w:rsidRPr="004D6678">
              <w:rPr>
                <w:rFonts w:ascii="宋体" w:hAnsi="宋体"/>
              </w:rPr>
              <w:t>发[2013]39号</w:t>
            </w:r>
            <w:r w:rsidRPr="004D6678">
              <w:rPr>
                <w:rFonts w:ascii="宋体" w:hAnsi="宋体" w:hint="eastAsia"/>
              </w:rPr>
              <w:t>）规定，安全施工费费率乘以系数0.75。</w:t>
            </w:r>
          </w:p>
        </w:tc>
      </w:tr>
      <w:tr w:rsidR="005A7B05" w:rsidRPr="00DF3117" w:rsidTr="00A553A5">
        <w:trPr>
          <w:cantSplit/>
          <w:trHeight w:val="567"/>
          <w:jc w:val="center"/>
        </w:trPr>
        <w:tc>
          <w:tcPr>
            <w:tcW w:w="460"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1.21</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1.56</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1.56</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1.13</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rPr>
          <w:cantSplit/>
          <w:trHeight w:val="567"/>
          <w:jc w:val="center"/>
        </w:trPr>
        <w:tc>
          <w:tcPr>
            <w:tcW w:w="460"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1.13</w:t>
            </w:r>
          </w:p>
        </w:tc>
        <w:tc>
          <w:tcPr>
            <w:tcW w:w="3173" w:type="dxa"/>
            <w:vMerge/>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r>
      <w:tr w:rsidR="005A7B05" w:rsidRPr="00DF3117" w:rsidTr="00A553A5">
        <w:trPr>
          <w:cantSplit/>
          <w:trHeight w:val="809"/>
          <w:jc w:val="center"/>
        </w:trPr>
        <w:tc>
          <w:tcPr>
            <w:tcW w:w="460" w:type="dxa"/>
            <w:vMerge/>
            <w:tcBorders>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856" w:type="dxa"/>
            <w:vMerge/>
            <w:tcBorders>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p>
        </w:tc>
        <w:tc>
          <w:tcPr>
            <w:tcW w:w="3334"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0.94</w:t>
            </w:r>
          </w:p>
        </w:tc>
        <w:tc>
          <w:tcPr>
            <w:tcW w:w="3173" w:type="dxa"/>
            <w:vMerge/>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809"/>
          <w:jc w:val="center"/>
        </w:trPr>
        <w:tc>
          <w:tcPr>
            <w:tcW w:w="460" w:type="dxa"/>
            <w:vMerge w:val="restart"/>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四</w:t>
            </w:r>
          </w:p>
        </w:tc>
        <w:tc>
          <w:tcPr>
            <w:tcW w:w="856" w:type="dxa"/>
            <w:vMerge w:val="restart"/>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临时设施费</w:t>
            </w: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房屋建筑与装饰工程、仿古建筑工程、构筑物工程</w:t>
            </w:r>
          </w:p>
        </w:tc>
        <w:tc>
          <w:tcPr>
            <w:tcW w:w="1134"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2.02</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60" w:type="dxa"/>
            <w:vMerge/>
            <w:vAlign w:val="center"/>
          </w:tcPr>
          <w:p w:rsidR="005A7B05" w:rsidRPr="00DF3117" w:rsidRDefault="005A7B05" w:rsidP="00A553A5">
            <w:pPr>
              <w:spacing w:before="100"/>
              <w:jc w:val="center"/>
              <w:rPr>
                <w:rFonts w:ascii="宋体" w:hAnsi="宋体"/>
                <w:szCs w:val="21"/>
              </w:rPr>
            </w:pPr>
          </w:p>
        </w:tc>
        <w:tc>
          <w:tcPr>
            <w:tcW w:w="856"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单独装饰工程、单独通用安装工程</w:t>
            </w:r>
          </w:p>
        </w:tc>
        <w:tc>
          <w:tcPr>
            <w:tcW w:w="1134"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2.02</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60" w:type="dxa"/>
            <w:vMerge/>
            <w:vAlign w:val="center"/>
          </w:tcPr>
          <w:p w:rsidR="005A7B05" w:rsidRPr="00DF3117" w:rsidRDefault="005A7B05" w:rsidP="00A553A5">
            <w:pPr>
              <w:spacing w:before="100"/>
              <w:jc w:val="center"/>
              <w:rPr>
                <w:rFonts w:ascii="宋体" w:hAnsi="宋体"/>
                <w:szCs w:val="21"/>
              </w:rPr>
            </w:pPr>
          </w:p>
        </w:tc>
        <w:tc>
          <w:tcPr>
            <w:tcW w:w="856"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市政工程</w:t>
            </w:r>
          </w:p>
        </w:tc>
        <w:tc>
          <w:tcPr>
            <w:tcW w:w="1134"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2.02</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60" w:type="dxa"/>
            <w:vMerge/>
            <w:vAlign w:val="center"/>
          </w:tcPr>
          <w:p w:rsidR="005A7B05" w:rsidRPr="00DF3117" w:rsidRDefault="005A7B05" w:rsidP="00A553A5">
            <w:pPr>
              <w:spacing w:before="100"/>
              <w:jc w:val="center"/>
              <w:rPr>
                <w:rFonts w:ascii="宋体" w:hAnsi="宋体"/>
                <w:szCs w:val="21"/>
              </w:rPr>
            </w:pPr>
          </w:p>
        </w:tc>
        <w:tc>
          <w:tcPr>
            <w:tcW w:w="856"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城市轨道交通工程</w:t>
            </w:r>
          </w:p>
        </w:tc>
        <w:tc>
          <w:tcPr>
            <w:tcW w:w="1134"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2.02</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60" w:type="dxa"/>
            <w:vMerge/>
            <w:vAlign w:val="center"/>
          </w:tcPr>
          <w:p w:rsidR="005A7B05" w:rsidRPr="00DF3117" w:rsidRDefault="005A7B05" w:rsidP="00A553A5">
            <w:pPr>
              <w:spacing w:before="100"/>
              <w:jc w:val="center"/>
              <w:rPr>
                <w:rFonts w:ascii="宋体" w:hAnsi="宋体"/>
                <w:szCs w:val="21"/>
              </w:rPr>
            </w:pPr>
          </w:p>
        </w:tc>
        <w:tc>
          <w:tcPr>
            <w:tcW w:w="856"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园林绿化工程、总平、运动场工程</w:t>
            </w:r>
          </w:p>
        </w:tc>
        <w:tc>
          <w:tcPr>
            <w:tcW w:w="1134"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r w:rsidRPr="00DF3117">
              <w:rPr>
                <w:rFonts w:ascii="宋体" w:hAnsi="宋体" w:hint="eastAsia"/>
                <w:szCs w:val="21"/>
              </w:rPr>
              <w:t>1.82</w:t>
            </w:r>
          </w:p>
        </w:tc>
        <w:tc>
          <w:tcPr>
            <w:tcW w:w="3173" w:type="dxa"/>
            <w:vMerge/>
            <w:tcBorders>
              <w:left w:val="single" w:sz="4" w:space="0" w:color="auto"/>
              <w:right w:val="single" w:sz="4" w:space="0" w:color="auto"/>
            </w:tcBorders>
            <w:vAlign w:val="center"/>
          </w:tcPr>
          <w:p w:rsidR="005A7B05" w:rsidRPr="00DF3117" w:rsidRDefault="005A7B05" w:rsidP="00A553A5">
            <w:pPr>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567"/>
          <w:jc w:val="center"/>
        </w:trPr>
        <w:tc>
          <w:tcPr>
            <w:tcW w:w="460" w:type="dxa"/>
            <w:vMerge/>
            <w:vAlign w:val="center"/>
          </w:tcPr>
          <w:p w:rsidR="005A7B05" w:rsidRPr="00DF3117" w:rsidRDefault="005A7B05" w:rsidP="00A553A5">
            <w:pPr>
              <w:spacing w:before="100"/>
              <w:jc w:val="center"/>
              <w:rPr>
                <w:rFonts w:ascii="宋体" w:hAnsi="宋体"/>
                <w:szCs w:val="21"/>
              </w:rPr>
            </w:pPr>
          </w:p>
        </w:tc>
        <w:tc>
          <w:tcPr>
            <w:tcW w:w="856"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维修加固工程、拆除工程</w:t>
            </w:r>
          </w:p>
        </w:tc>
        <w:tc>
          <w:tcPr>
            <w:tcW w:w="1134" w:type="dxa"/>
            <w:vMerge/>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1.60</w:t>
            </w:r>
          </w:p>
        </w:tc>
        <w:tc>
          <w:tcPr>
            <w:tcW w:w="3173" w:type="dxa"/>
            <w:vMerge/>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r>
      <w:tr w:rsidR="005A7B05" w:rsidRPr="00DF3117" w:rsidTr="00A553A5">
        <w:tblPrEx>
          <w:tblBorders>
            <w:insideH w:val="single" w:sz="4" w:space="0" w:color="auto"/>
            <w:insideV w:val="single" w:sz="4" w:space="0" w:color="auto"/>
          </w:tblBorders>
        </w:tblPrEx>
        <w:trPr>
          <w:cantSplit/>
          <w:trHeight w:val="809"/>
          <w:jc w:val="center"/>
        </w:trPr>
        <w:tc>
          <w:tcPr>
            <w:tcW w:w="460" w:type="dxa"/>
            <w:vMerge/>
            <w:vAlign w:val="center"/>
          </w:tcPr>
          <w:p w:rsidR="005A7B05" w:rsidRPr="00DF3117" w:rsidRDefault="005A7B05" w:rsidP="00A553A5">
            <w:pPr>
              <w:spacing w:before="100"/>
              <w:jc w:val="center"/>
              <w:rPr>
                <w:rFonts w:ascii="宋体" w:hAnsi="宋体"/>
                <w:szCs w:val="21"/>
              </w:rPr>
            </w:pPr>
          </w:p>
        </w:tc>
        <w:tc>
          <w:tcPr>
            <w:tcW w:w="856" w:type="dxa"/>
            <w:vMerge/>
            <w:vAlign w:val="center"/>
          </w:tcPr>
          <w:p w:rsidR="005A7B05" w:rsidRPr="00DF3117" w:rsidRDefault="005A7B05" w:rsidP="00A553A5">
            <w:pPr>
              <w:spacing w:before="100"/>
              <w:jc w:val="center"/>
              <w:rPr>
                <w:rFonts w:ascii="宋体" w:hAnsi="宋体"/>
                <w:szCs w:val="21"/>
              </w:rPr>
            </w:pPr>
          </w:p>
        </w:tc>
        <w:tc>
          <w:tcPr>
            <w:tcW w:w="3334" w:type="dxa"/>
            <w:tcBorders>
              <w:right w:val="single" w:sz="4" w:space="0" w:color="auto"/>
            </w:tcBorders>
            <w:vAlign w:val="center"/>
          </w:tcPr>
          <w:p w:rsidR="005A7B05" w:rsidRPr="00DF3117" w:rsidRDefault="005A7B05" w:rsidP="00A553A5">
            <w:pPr>
              <w:jc w:val="center"/>
              <w:rPr>
                <w:rFonts w:ascii="宋体" w:hAnsi="宋体" w:cs="宋体"/>
                <w:szCs w:val="21"/>
              </w:rPr>
            </w:pPr>
            <w:r w:rsidRPr="00DF3117">
              <w:rPr>
                <w:rFonts w:ascii="宋体" w:hAnsi="宋体" w:cs="宋体" w:hint="eastAsia"/>
                <w:szCs w:val="21"/>
              </w:rPr>
              <w:t>单独土石方、单独地基处理与边坡支护工程、单独桩基工程</w:t>
            </w:r>
          </w:p>
        </w:tc>
        <w:tc>
          <w:tcPr>
            <w:tcW w:w="1134" w:type="dxa"/>
            <w:vMerge/>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c>
          <w:tcPr>
            <w:tcW w:w="992" w:type="dxa"/>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r w:rsidRPr="00DF3117">
              <w:rPr>
                <w:rFonts w:ascii="宋体" w:hAnsi="宋体" w:hint="eastAsia"/>
                <w:szCs w:val="21"/>
              </w:rPr>
              <w:t>1.60</w:t>
            </w:r>
          </w:p>
        </w:tc>
        <w:tc>
          <w:tcPr>
            <w:tcW w:w="3173" w:type="dxa"/>
            <w:vMerge/>
            <w:tcBorders>
              <w:left w:val="single" w:sz="4" w:space="0" w:color="auto"/>
              <w:right w:val="single" w:sz="4" w:space="0" w:color="auto"/>
            </w:tcBorders>
            <w:vAlign w:val="center"/>
          </w:tcPr>
          <w:p w:rsidR="005A7B05" w:rsidRPr="00DF3117" w:rsidRDefault="005A7B05" w:rsidP="00A553A5">
            <w:pPr>
              <w:spacing w:before="100"/>
              <w:jc w:val="center"/>
              <w:rPr>
                <w:rFonts w:ascii="宋体" w:hAnsi="宋体"/>
                <w:szCs w:val="21"/>
              </w:rPr>
            </w:pPr>
          </w:p>
        </w:tc>
      </w:tr>
    </w:tbl>
    <w:p w:rsidR="005A7B05" w:rsidRDefault="005A7B05" w:rsidP="005A7B05">
      <w:pPr>
        <w:snapToGrid w:val="0"/>
        <w:spacing w:line="360" w:lineRule="atLeast"/>
        <w:rPr>
          <w:rFonts w:ascii="宋体" w:hAnsi="宋体" w:cs="宋体"/>
          <w:szCs w:val="21"/>
        </w:rPr>
      </w:pPr>
    </w:p>
    <w:p w:rsidR="005A7B05" w:rsidRPr="002E31C1" w:rsidRDefault="005A7B05" w:rsidP="005A7B05">
      <w:pPr>
        <w:spacing w:line="360" w:lineRule="auto"/>
        <w:jc w:val="left"/>
        <w:rPr>
          <w:rFonts w:ascii="黑体" w:eastAsia="黑体" w:hAnsi="黑体"/>
          <w:sz w:val="28"/>
          <w:szCs w:val="32"/>
        </w:rPr>
      </w:pPr>
      <w:r w:rsidRPr="008212C2">
        <w:rPr>
          <w:rFonts w:ascii="黑体" w:eastAsia="黑体" w:hAnsi="黑体" w:hint="eastAsia"/>
          <w:sz w:val="28"/>
          <w:szCs w:val="32"/>
        </w:rPr>
        <w:t>2、调整后的其他总价措施项目费计取标准</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587"/>
        <w:gridCol w:w="6106"/>
        <w:gridCol w:w="1197"/>
      </w:tblGrid>
      <w:tr w:rsidR="005A7B05" w:rsidRPr="00DF3117" w:rsidTr="00A553A5">
        <w:trPr>
          <w:trHeight w:val="567"/>
          <w:jc w:val="center"/>
        </w:trPr>
        <w:tc>
          <w:tcPr>
            <w:tcW w:w="813"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序号</w:t>
            </w:r>
          </w:p>
        </w:tc>
        <w:tc>
          <w:tcPr>
            <w:tcW w:w="158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项目名称</w:t>
            </w:r>
          </w:p>
        </w:tc>
        <w:tc>
          <w:tcPr>
            <w:tcW w:w="6106"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 xml:space="preserve">计 算 基 </w:t>
            </w:r>
            <w:proofErr w:type="gramStart"/>
            <w:r w:rsidRPr="00DF3117">
              <w:rPr>
                <w:rFonts w:ascii="宋体" w:hAnsi="宋体" w:hint="eastAsia"/>
                <w:sz w:val="22"/>
                <w:szCs w:val="18"/>
              </w:rPr>
              <w:t>础</w:t>
            </w:r>
            <w:proofErr w:type="gramEnd"/>
          </w:p>
        </w:tc>
        <w:tc>
          <w:tcPr>
            <w:tcW w:w="119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费率</w:t>
            </w:r>
            <w:r w:rsidRPr="00DF3117">
              <w:rPr>
                <w:rFonts w:ascii="宋体" w:hAnsi="宋体" w:cs="宋体" w:hint="eastAsia"/>
                <w:sz w:val="22"/>
                <w:szCs w:val="18"/>
              </w:rPr>
              <w:t>（%）</w:t>
            </w:r>
          </w:p>
        </w:tc>
      </w:tr>
      <w:tr w:rsidR="005A7B05" w:rsidRPr="00DF3117" w:rsidTr="00A553A5">
        <w:trPr>
          <w:trHeight w:val="567"/>
          <w:jc w:val="center"/>
        </w:trPr>
        <w:tc>
          <w:tcPr>
            <w:tcW w:w="813"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1</w:t>
            </w:r>
          </w:p>
        </w:tc>
        <w:tc>
          <w:tcPr>
            <w:tcW w:w="158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夜间施工</w:t>
            </w:r>
          </w:p>
        </w:tc>
        <w:tc>
          <w:tcPr>
            <w:tcW w:w="6106"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分部分项清单定额人工费＋单价措施项目清单定额人工费</w:t>
            </w:r>
          </w:p>
        </w:tc>
        <w:tc>
          <w:tcPr>
            <w:tcW w:w="119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0.78</w:t>
            </w:r>
          </w:p>
        </w:tc>
      </w:tr>
      <w:tr w:rsidR="005A7B05" w:rsidRPr="00DF3117" w:rsidTr="00A553A5">
        <w:trPr>
          <w:trHeight w:val="567"/>
          <w:jc w:val="center"/>
        </w:trPr>
        <w:tc>
          <w:tcPr>
            <w:tcW w:w="813"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2</w:t>
            </w:r>
          </w:p>
        </w:tc>
        <w:tc>
          <w:tcPr>
            <w:tcW w:w="158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二次搬运</w:t>
            </w:r>
          </w:p>
        </w:tc>
        <w:tc>
          <w:tcPr>
            <w:tcW w:w="6106"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分部分项清单定额人工费＋单价措施项目清单定额人工费</w:t>
            </w:r>
          </w:p>
        </w:tc>
        <w:tc>
          <w:tcPr>
            <w:tcW w:w="119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0.38</w:t>
            </w:r>
          </w:p>
        </w:tc>
      </w:tr>
      <w:tr w:rsidR="005A7B05" w:rsidRPr="00DF3117" w:rsidTr="00A553A5">
        <w:trPr>
          <w:trHeight w:val="567"/>
          <w:jc w:val="center"/>
        </w:trPr>
        <w:tc>
          <w:tcPr>
            <w:tcW w:w="813"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3</w:t>
            </w:r>
          </w:p>
        </w:tc>
        <w:tc>
          <w:tcPr>
            <w:tcW w:w="158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冬雨季施工</w:t>
            </w:r>
          </w:p>
        </w:tc>
        <w:tc>
          <w:tcPr>
            <w:tcW w:w="6106"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分部分项清单定额人工费＋单价措施项目清单定额人工费</w:t>
            </w:r>
          </w:p>
        </w:tc>
        <w:tc>
          <w:tcPr>
            <w:tcW w:w="119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0.58</w:t>
            </w:r>
          </w:p>
        </w:tc>
      </w:tr>
      <w:tr w:rsidR="005A7B05" w:rsidRPr="00DF3117" w:rsidTr="00A553A5">
        <w:trPr>
          <w:trHeight w:val="567"/>
          <w:jc w:val="center"/>
        </w:trPr>
        <w:tc>
          <w:tcPr>
            <w:tcW w:w="813"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4</w:t>
            </w:r>
          </w:p>
        </w:tc>
        <w:tc>
          <w:tcPr>
            <w:tcW w:w="158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工程定位复测</w:t>
            </w:r>
          </w:p>
        </w:tc>
        <w:tc>
          <w:tcPr>
            <w:tcW w:w="6106"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分部分项清单定额人工费＋单价措施项目清单定额人工费</w:t>
            </w:r>
          </w:p>
        </w:tc>
        <w:tc>
          <w:tcPr>
            <w:tcW w:w="1197" w:type="dxa"/>
            <w:vAlign w:val="center"/>
          </w:tcPr>
          <w:p w:rsidR="005A7B05" w:rsidRPr="00DF3117" w:rsidRDefault="005A7B05" w:rsidP="00A553A5">
            <w:pPr>
              <w:jc w:val="center"/>
              <w:rPr>
                <w:rFonts w:ascii="宋体" w:hAnsi="宋体"/>
                <w:sz w:val="22"/>
                <w:szCs w:val="18"/>
              </w:rPr>
            </w:pPr>
            <w:r w:rsidRPr="00DF3117">
              <w:rPr>
                <w:rFonts w:ascii="宋体" w:hAnsi="宋体" w:hint="eastAsia"/>
                <w:sz w:val="22"/>
                <w:szCs w:val="18"/>
              </w:rPr>
              <w:t>0.14</w:t>
            </w:r>
          </w:p>
        </w:tc>
      </w:tr>
    </w:tbl>
    <w:p w:rsidR="005A7B05" w:rsidRDefault="005A7B05" w:rsidP="005A7B05">
      <w:pPr>
        <w:snapToGrid w:val="0"/>
        <w:spacing w:line="320" w:lineRule="exact"/>
        <w:rPr>
          <w:rFonts w:ascii="宋体" w:hAnsi="宋体"/>
          <w:kern w:val="0"/>
        </w:rPr>
      </w:pPr>
    </w:p>
    <w:p w:rsidR="005A7B05" w:rsidRDefault="005A7B05" w:rsidP="005A7B05">
      <w:pPr>
        <w:snapToGrid w:val="0"/>
        <w:spacing w:line="320" w:lineRule="exact"/>
        <w:ind w:firstLineChars="202" w:firstLine="424"/>
        <w:rPr>
          <w:rFonts w:ascii="宋体" w:hAnsi="宋体"/>
          <w:kern w:val="0"/>
        </w:rPr>
      </w:pPr>
    </w:p>
    <w:p w:rsidR="005A7B05" w:rsidRPr="002E31C1" w:rsidRDefault="005A7B05" w:rsidP="005A7B05">
      <w:pPr>
        <w:pStyle w:val="1"/>
        <w:rPr>
          <w:sz w:val="36"/>
        </w:rPr>
      </w:pPr>
      <w:r>
        <w:rPr>
          <w:sz w:val="36"/>
        </w:rPr>
        <w:br w:type="page"/>
      </w:r>
      <w:bookmarkStart w:id="12" w:name="_Toc450141081"/>
      <w:bookmarkStart w:id="13" w:name="_Toc450251055"/>
      <w:r>
        <w:rPr>
          <w:rFonts w:hint="eastAsia"/>
          <w:sz w:val="36"/>
        </w:rPr>
        <w:lastRenderedPageBreak/>
        <w:t>四川省</w:t>
      </w:r>
      <w:r w:rsidRPr="008212C2">
        <w:rPr>
          <w:rFonts w:hint="eastAsia"/>
          <w:sz w:val="36"/>
        </w:rPr>
        <w:t>附件</w:t>
      </w:r>
      <w:r w:rsidRPr="008212C2">
        <w:rPr>
          <w:rFonts w:hint="eastAsia"/>
          <w:sz w:val="36"/>
        </w:rPr>
        <w:t>2</w:t>
      </w:r>
      <w:r w:rsidRPr="008212C2">
        <w:rPr>
          <w:rFonts w:hint="eastAsia"/>
          <w:sz w:val="36"/>
        </w:rPr>
        <w:t>：</w:t>
      </w:r>
      <w:bookmarkEnd w:id="12"/>
      <w:bookmarkEnd w:id="13"/>
    </w:p>
    <w:p w:rsidR="005A7B05" w:rsidRPr="002E31C1" w:rsidRDefault="005A7B05" w:rsidP="005A7B05">
      <w:pPr>
        <w:pStyle w:val="1"/>
        <w:spacing w:before="0" w:after="0"/>
        <w:jc w:val="center"/>
      </w:pPr>
      <w:bookmarkStart w:id="14" w:name="_Toc450127560"/>
      <w:bookmarkStart w:id="15" w:name="_Toc450139149"/>
      <w:bookmarkStart w:id="16" w:name="_Toc450141082"/>
      <w:bookmarkStart w:id="17" w:name="_Toc450251056"/>
      <w:r w:rsidRPr="008212C2">
        <w:rPr>
          <w:rFonts w:hint="eastAsia"/>
        </w:rPr>
        <w:t>材料预算价格（信息价）调整方法</w:t>
      </w:r>
      <w:bookmarkEnd w:id="14"/>
      <w:bookmarkEnd w:id="15"/>
      <w:bookmarkEnd w:id="16"/>
      <w:bookmarkEnd w:id="17"/>
    </w:p>
    <w:p w:rsidR="005A7B05" w:rsidRPr="008212C2" w:rsidRDefault="005A7B05" w:rsidP="005A7B05">
      <w:pPr>
        <w:spacing w:before="240" w:line="360" w:lineRule="auto"/>
        <w:rPr>
          <w:rFonts w:ascii="黑体" w:eastAsia="黑体" w:hAnsi="黑体"/>
          <w:sz w:val="28"/>
          <w:szCs w:val="32"/>
        </w:rPr>
      </w:pPr>
      <w:r w:rsidRPr="008212C2">
        <w:rPr>
          <w:rFonts w:ascii="黑体" w:eastAsia="黑体" w:hAnsi="黑体" w:hint="eastAsia"/>
          <w:sz w:val="28"/>
          <w:szCs w:val="32"/>
        </w:rPr>
        <w:t>一、材料价格计算公式</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1.材料单价＝[（材料原价＋运杂费）×</w:t>
      </w:r>
      <w:r>
        <w:rPr>
          <w:rFonts w:ascii="宋体" w:hAnsi="宋体" w:hint="eastAsia"/>
          <w:sz w:val="24"/>
        </w:rPr>
        <w:t>[</w:t>
      </w:r>
      <w:r w:rsidRPr="002E31C1">
        <w:rPr>
          <w:rFonts w:ascii="宋体" w:hAnsi="宋体" w:hint="eastAsia"/>
          <w:sz w:val="24"/>
        </w:rPr>
        <w:t>1+运输损耗率</w:t>
      </w:r>
      <w:r>
        <w:rPr>
          <w:rFonts w:ascii="宋体" w:hAnsi="宋体" w:hint="eastAsia"/>
          <w:sz w:val="24"/>
        </w:rPr>
        <w:t>（</w:t>
      </w:r>
      <w:r w:rsidRPr="002E31C1">
        <w:rPr>
          <w:rFonts w:ascii="宋体" w:hAnsi="宋体" w:hint="eastAsia"/>
          <w:sz w:val="24"/>
        </w:rPr>
        <w:t>%</w:t>
      </w:r>
      <w:r>
        <w:rPr>
          <w:rFonts w:ascii="宋体" w:hAnsi="宋体" w:hint="eastAsia"/>
          <w:sz w:val="24"/>
        </w:rPr>
        <w:t>）]</w:t>
      </w:r>
      <w:r w:rsidRPr="002E31C1">
        <w:rPr>
          <w:rFonts w:ascii="宋体" w:hAnsi="宋体" w:hint="eastAsia"/>
          <w:sz w:val="24"/>
        </w:rPr>
        <w:t>]×[1+采购保管费率</w:t>
      </w:r>
      <w:r>
        <w:rPr>
          <w:rFonts w:ascii="宋体" w:hAnsi="宋体" w:hint="eastAsia"/>
          <w:sz w:val="24"/>
        </w:rPr>
        <w:t>（</w:t>
      </w:r>
      <w:r w:rsidRPr="002E31C1">
        <w:rPr>
          <w:rFonts w:ascii="宋体" w:hAnsi="宋体" w:hint="eastAsia"/>
          <w:sz w:val="24"/>
        </w:rPr>
        <w:t>%</w:t>
      </w:r>
      <w:r>
        <w:rPr>
          <w:rFonts w:ascii="宋体" w:hAnsi="宋体" w:hint="eastAsia"/>
          <w:sz w:val="24"/>
        </w:rPr>
        <w:t>）</w:t>
      </w:r>
      <w:r w:rsidRPr="002E31C1">
        <w:rPr>
          <w:rFonts w:ascii="宋体" w:hAnsi="宋体" w:hint="eastAsia"/>
          <w:sz w:val="24"/>
        </w:rPr>
        <w:t>]。</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2.材料不含税预算价格（信息价）=不含税材料原价+不含税运杂费+不含税运输损耗费+不含税采购及保管费。</w:t>
      </w:r>
    </w:p>
    <w:p w:rsidR="005A7B05" w:rsidRPr="008212C2" w:rsidRDefault="005A7B05" w:rsidP="005A7B05">
      <w:pPr>
        <w:spacing w:before="240" w:line="360" w:lineRule="auto"/>
        <w:rPr>
          <w:rFonts w:ascii="黑体" w:eastAsia="黑体" w:hAnsi="黑体"/>
          <w:sz w:val="28"/>
          <w:szCs w:val="32"/>
        </w:rPr>
      </w:pPr>
      <w:r w:rsidRPr="008212C2">
        <w:rPr>
          <w:rFonts w:ascii="黑体" w:eastAsia="黑体" w:hAnsi="黑体" w:hint="eastAsia"/>
          <w:sz w:val="28"/>
          <w:szCs w:val="32"/>
        </w:rPr>
        <w:t>二、材料单价组成内容调整</w:t>
      </w:r>
    </w:p>
    <w:p w:rsidR="005A7B05" w:rsidRPr="006E0E4E" w:rsidRDefault="005A7B05" w:rsidP="005A7B05">
      <w:pPr>
        <w:spacing w:line="360" w:lineRule="auto"/>
        <w:ind w:firstLineChars="200" w:firstLine="480"/>
        <w:rPr>
          <w:rFonts w:ascii="宋体" w:hAnsi="宋体"/>
          <w:sz w:val="24"/>
        </w:rPr>
      </w:pPr>
      <w:r w:rsidRPr="002E31C1">
        <w:rPr>
          <w:rFonts w:ascii="宋体" w:hAnsi="宋体" w:hint="eastAsia"/>
          <w:sz w:val="24"/>
        </w:rPr>
        <w:t>材料单价各项组成调整方法见下表。</w:t>
      </w:r>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1453"/>
        <w:gridCol w:w="6708"/>
      </w:tblGrid>
      <w:tr w:rsidR="005A7B05" w:rsidRPr="00DF3117" w:rsidTr="00A553A5">
        <w:trPr>
          <w:trHeight w:val="964"/>
          <w:tblHeader/>
          <w:jc w:val="center"/>
        </w:trPr>
        <w:tc>
          <w:tcPr>
            <w:tcW w:w="513" w:type="pct"/>
            <w:vAlign w:val="center"/>
          </w:tcPr>
          <w:p w:rsidR="005A7B05" w:rsidRPr="00DF3117" w:rsidRDefault="005A7B05" w:rsidP="00A553A5">
            <w:pPr>
              <w:widowControl/>
              <w:jc w:val="center"/>
              <w:rPr>
                <w:rFonts w:ascii="宋体" w:hAnsi="宋体"/>
              </w:rPr>
            </w:pPr>
            <w:r w:rsidRPr="00DF3117">
              <w:rPr>
                <w:rFonts w:ascii="宋体" w:hAnsi="宋体" w:hint="eastAsia"/>
              </w:rPr>
              <w:t>序号</w:t>
            </w:r>
          </w:p>
        </w:tc>
        <w:tc>
          <w:tcPr>
            <w:tcW w:w="799" w:type="pct"/>
            <w:vAlign w:val="center"/>
          </w:tcPr>
          <w:p w:rsidR="005A7B05" w:rsidRPr="00DF3117" w:rsidRDefault="005A7B05" w:rsidP="00A553A5">
            <w:pPr>
              <w:widowControl/>
              <w:jc w:val="center"/>
              <w:rPr>
                <w:rFonts w:ascii="宋体" w:hAnsi="宋体"/>
              </w:rPr>
            </w:pPr>
            <w:r w:rsidRPr="00DF3117">
              <w:rPr>
                <w:rFonts w:ascii="宋体" w:hAnsi="宋体" w:hint="eastAsia"/>
              </w:rPr>
              <w:t>材料单价</w:t>
            </w:r>
          </w:p>
          <w:p w:rsidR="005A7B05" w:rsidRPr="00DF3117" w:rsidRDefault="005A7B05" w:rsidP="00A553A5">
            <w:pPr>
              <w:widowControl/>
              <w:jc w:val="center"/>
              <w:rPr>
                <w:rFonts w:ascii="宋体" w:hAnsi="宋体"/>
              </w:rPr>
            </w:pPr>
            <w:r w:rsidRPr="00DF3117">
              <w:rPr>
                <w:rFonts w:ascii="宋体" w:hAnsi="宋体" w:hint="eastAsia"/>
              </w:rPr>
              <w:t>组成内容</w:t>
            </w:r>
          </w:p>
        </w:tc>
        <w:tc>
          <w:tcPr>
            <w:tcW w:w="3688" w:type="pct"/>
            <w:vAlign w:val="center"/>
          </w:tcPr>
          <w:p w:rsidR="005A7B05" w:rsidRPr="00DF3117" w:rsidRDefault="005A7B05" w:rsidP="00A553A5">
            <w:pPr>
              <w:widowControl/>
              <w:jc w:val="center"/>
              <w:rPr>
                <w:rFonts w:ascii="宋体" w:hAnsi="宋体"/>
              </w:rPr>
            </w:pPr>
            <w:r w:rsidRPr="00DF3117">
              <w:rPr>
                <w:rFonts w:ascii="宋体" w:hAnsi="宋体" w:hint="eastAsia"/>
              </w:rPr>
              <w:t>调整方法及适用税率</w:t>
            </w:r>
          </w:p>
        </w:tc>
      </w:tr>
      <w:tr w:rsidR="005A7B05" w:rsidRPr="00DF3117" w:rsidTr="00A553A5">
        <w:trPr>
          <w:trHeight w:val="850"/>
          <w:jc w:val="center"/>
        </w:trPr>
        <w:tc>
          <w:tcPr>
            <w:tcW w:w="513" w:type="pct"/>
            <w:vAlign w:val="center"/>
          </w:tcPr>
          <w:p w:rsidR="005A7B05" w:rsidRPr="00DF3117" w:rsidRDefault="005A7B05" w:rsidP="00A553A5">
            <w:pPr>
              <w:widowControl/>
              <w:jc w:val="center"/>
              <w:rPr>
                <w:rFonts w:ascii="宋体" w:hAnsi="宋体"/>
                <w:b/>
              </w:rPr>
            </w:pPr>
            <w:r w:rsidRPr="00DF3117">
              <w:rPr>
                <w:rFonts w:ascii="宋体" w:hAnsi="宋体" w:hint="eastAsia"/>
                <w:b/>
              </w:rPr>
              <w:t>1</w:t>
            </w:r>
          </w:p>
        </w:tc>
        <w:tc>
          <w:tcPr>
            <w:tcW w:w="799" w:type="pct"/>
            <w:vAlign w:val="center"/>
          </w:tcPr>
          <w:p w:rsidR="005A7B05" w:rsidRPr="00DF3117" w:rsidRDefault="005A7B05" w:rsidP="00A553A5">
            <w:pPr>
              <w:widowControl/>
              <w:jc w:val="center"/>
              <w:rPr>
                <w:rFonts w:ascii="宋体" w:hAnsi="宋体"/>
                <w:b/>
              </w:rPr>
            </w:pPr>
            <w:r w:rsidRPr="00DF3117">
              <w:rPr>
                <w:rFonts w:ascii="宋体" w:hAnsi="宋体" w:hint="eastAsia"/>
                <w:b/>
              </w:rPr>
              <w:t>“两票制”</w:t>
            </w:r>
          </w:p>
          <w:p w:rsidR="005A7B05" w:rsidRPr="00DF3117" w:rsidRDefault="005A7B05" w:rsidP="00A553A5">
            <w:pPr>
              <w:widowControl/>
              <w:jc w:val="center"/>
              <w:rPr>
                <w:rFonts w:ascii="宋体" w:hAnsi="宋体"/>
                <w:b/>
              </w:rPr>
            </w:pPr>
            <w:r w:rsidRPr="00DF3117">
              <w:rPr>
                <w:rFonts w:ascii="宋体" w:hAnsi="宋体" w:hint="eastAsia"/>
                <w:b/>
              </w:rPr>
              <w:t>材料</w:t>
            </w:r>
          </w:p>
        </w:tc>
        <w:tc>
          <w:tcPr>
            <w:tcW w:w="3688" w:type="pct"/>
            <w:vAlign w:val="center"/>
          </w:tcPr>
          <w:p w:rsidR="005A7B05" w:rsidRPr="00DF3117" w:rsidRDefault="005A7B05" w:rsidP="00A553A5">
            <w:pPr>
              <w:widowControl/>
              <w:jc w:val="left"/>
              <w:rPr>
                <w:rFonts w:ascii="宋体" w:hAnsi="宋体"/>
                <w:b/>
              </w:rPr>
            </w:pPr>
            <w:r w:rsidRPr="00DF3117">
              <w:rPr>
                <w:rFonts w:ascii="宋体" w:hAnsi="宋体" w:hint="eastAsia"/>
                <w:b/>
              </w:rPr>
              <w:t>材料原价、运杂费及运输损耗费按以下方法分别扣减。</w:t>
            </w:r>
          </w:p>
        </w:tc>
      </w:tr>
      <w:tr w:rsidR="005A7B05" w:rsidRPr="00DF3117" w:rsidTr="00A553A5">
        <w:trPr>
          <w:trHeight w:val="567"/>
          <w:jc w:val="center"/>
        </w:trPr>
        <w:tc>
          <w:tcPr>
            <w:tcW w:w="513" w:type="pct"/>
            <w:vAlign w:val="center"/>
          </w:tcPr>
          <w:p w:rsidR="005A7B05" w:rsidRPr="00DF3117" w:rsidRDefault="005A7B05" w:rsidP="00A553A5">
            <w:pPr>
              <w:widowControl/>
              <w:jc w:val="center"/>
              <w:rPr>
                <w:rFonts w:ascii="宋体" w:hAnsi="宋体"/>
              </w:rPr>
            </w:pPr>
            <w:r w:rsidRPr="00DF3117">
              <w:rPr>
                <w:rFonts w:ascii="宋体" w:hAnsi="宋体" w:hint="eastAsia"/>
              </w:rPr>
              <w:t>1.1</w:t>
            </w:r>
          </w:p>
        </w:tc>
        <w:tc>
          <w:tcPr>
            <w:tcW w:w="799" w:type="pct"/>
            <w:vAlign w:val="center"/>
          </w:tcPr>
          <w:p w:rsidR="005A7B05" w:rsidRPr="00DF3117" w:rsidRDefault="005A7B05" w:rsidP="00A553A5">
            <w:pPr>
              <w:widowControl/>
              <w:jc w:val="center"/>
              <w:rPr>
                <w:rFonts w:ascii="宋体" w:hAnsi="宋体"/>
              </w:rPr>
            </w:pPr>
            <w:r w:rsidRPr="00DF3117">
              <w:rPr>
                <w:rFonts w:ascii="宋体" w:hAnsi="宋体" w:hint="eastAsia"/>
              </w:rPr>
              <w:t>材料原价</w:t>
            </w:r>
          </w:p>
        </w:tc>
        <w:tc>
          <w:tcPr>
            <w:tcW w:w="3688" w:type="pct"/>
            <w:vAlign w:val="center"/>
          </w:tcPr>
          <w:p w:rsidR="005A7B05" w:rsidRPr="00DF3117" w:rsidRDefault="005A7B05" w:rsidP="00A553A5">
            <w:pPr>
              <w:widowControl/>
              <w:jc w:val="left"/>
              <w:rPr>
                <w:rFonts w:ascii="宋体" w:hAnsi="宋体"/>
              </w:rPr>
            </w:pPr>
            <w:r w:rsidRPr="00DF3117">
              <w:rPr>
                <w:rFonts w:ascii="宋体" w:hAnsi="宋体" w:hint="eastAsia"/>
              </w:rPr>
              <w:t>以购进货物适用的税率</w:t>
            </w:r>
            <w:r>
              <w:rPr>
                <w:rFonts w:ascii="宋体" w:hAnsi="宋体" w:hint="eastAsia"/>
              </w:rPr>
              <w:t>（</w:t>
            </w:r>
            <w:r w:rsidRPr="00DF3117">
              <w:rPr>
                <w:rFonts w:ascii="宋体" w:hAnsi="宋体" w:hint="eastAsia"/>
              </w:rPr>
              <w:t>17%、13%</w:t>
            </w:r>
            <w:r>
              <w:rPr>
                <w:rFonts w:ascii="宋体" w:hAnsi="宋体" w:hint="eastAsia"/>
              </w:rPr>
              <w:t>）</w:t>
            </w:r>
            <w:r w:rsidRPr="00DF3117">
              <w:rPr>
                <w:rFonts w:ascii="宋体" w:hAnsi="宋体" w:hint="eastAsia"/>
              </w:rPr>
              <w:t>或征收率</w:t>
            </w:r>
            <w:r>
              <w:rPr>
                <w:rFonts w:ascii="宋体" w:hAnsi="宋体" w:hint="eastAsia"/>
              </w:rPr>
              <w:t>（</w:t>
            </w:r>
            <w:r w:rsidRPr="00DF3117">
              <w:rPr>
                <w:rFonts w:ascii="宋体" w:hAnsi="宋体" w:hint="eastAsia"/>
              </w:rPr>
              <w:t>3%</w:t>
            </w:r>
            <w:r>
              <w:rPr>
                <w:rFonts w:ascii="宋体" w:hAnsi="宋体" w:hint="eastAsia"/>
              </w:rPr>
              <w:t>）</w:t>
            </w:r>
            <w:r w:rsidRPr="00DF3117">
              <w:rPr>
                <w:rFonts w:ascii="宋体" w:hAnsi="宋体" w:hint="eastAsia"/>
              </w:rPr>
              <w:t>扣减。</w:t>
            </w:r>
          </w:p>
        </w:tc>
      </w:tr>
      <w:tr w:rsidR="005A7B05" w:rsidRPr="00DF3117" w:rsidTr="00A553A5">
        <w:trPr>
          <w:trHeight w:val="567"/>
          <w:jc w:val="center"/>
        </w:trPr>
        <w:tc>
          <w:tcPr>
            <w:tcW w:w="513" w:type="pct"/>
            <w:vAlign w:val="center"/>
          </w:tcPr>
          <w:p w:rsidR="005A7B05" w:rsidRPr="00DF3117" w:rsidRDefault="005A7B05" w:rsidP="00A553A5">
            <w:pPr>
              <w:widowControl/>
              <w:jc w:val="center"/>
              <w:rPr>
                <w:rFonts w:ascii="宋体" w:hAnsi="宋体"/>
              </w:rPr>
            </w:pPr>
            <w:r w:rsidRPr="00DF3117">
              <w:rPr>
                <w:rFonts w:ascii="宋体" w:hAnsi="宋体" w:hint="eastAsia"/>
              </w:rPr>
              <w:t>1.2</w:t>
            </w:r>
          </w:p>
        </w:tc>
        <w:tc>
          <w:tcPr>
            <w:tcW w:w="799" w:type="pct"/>
            <w:vAlign w:val="center"/>
          </w:tcPr>
          <w:p w:rsidR="005A7B05" w:rsidRPr="00DF3117" w:rsidRDefault="005A7B05" w:rsidP="00A553A5">
            <w:pPr>
              <w:widowControl/>
              <w:jc w:val="center"/>
              <w:rPr>
                <w:rFonts w:ascii="宋体" w:hAnsi="宋体"/>
              </w:rPr>
            </w:pPr>
            <w:r w:rsidRPr="00DF3117">
              <w:rPr>
                <w:rFonts w:ascii="宋体" w:hAnsi="宋体" w:hint="eastAsia"/>
              </w:rPr>
              <w:t>运杂费</w:t>
            </w:r>
          </w:p>
        </w:tc>
        <w:tc>
          <w:tcPr>
            <w:tcW w:w="3688" w:type="pct"/>
            <w:vAlign w:val="center"/>
          </w:tcPr>
          <w:p w:rsidR="005A7B05" w:rsidRPr="00DF3117" w:rsidRDefault="005A7B05" w:rsidP="00A553A5">
            <w:pPr>
              <w:widowControl/>
              <w:jc w:val="left"/>
              <w:rPr>
                <w:rFonts w:ascii="宋体" w:hAnsi="宋体"/>
              </w:rPr>
            </w:pPr>
            <w:r w:rsidRPr="00DF3117">
              <w:rPr>
                <w:rFonts w:ascii="宋体" w:hAnsi="宋体" w:hint="eastAsia"/>
              </w:rPr>
              <w:t>以接受交通运输业服务适用税率11%扣减。</w:t>
            </w:r>
          </w:p>
        </w:tc>
      </w:tr>
      <w:tr w:rsidR="005A7B05" w:rsidRPr="00DF3117" w:rsidTr="00A553A5">
        <w:trPr>
          <w:trHeight w:val="850"/>
          <w:jc w:val="center"/>
        </w:trPr>
        <w:tc>
          <w:tcPr>
            <w:tcW w:w="513" w:type="pct"/>
            <w:vAlign w:val="center"/>
          </w:tcPr>
          <w:p w:rsidR="005A7B05" w:rsidRPr="00DF3117" w:rsidRDefault="005A7B05" w:rsidP="00A553A5">
            <w:pPr>
              <w:widowControl/>
              <w:jc w:val="center"/>
              <w:rPr>
                <w:rFonts w:ascii="宋体" w:hAnsi="宋体"/>
              </w:rPr>
            </w:pPr>
            <w:r w:rsidRPr="00DF3117">
              <w:rPr>
                <w:rFonts w:ascii="宋体" w:hAnsi="宋体" w:hint="eastAsia"/>
              </w:rPr>
              <w:t>1.3</w:t>
            </w:r>
          </w:p>
        </w:tc>
        <w:tc>
          <w:tcPr>
            <w:tcW w:w="799" w:type="pct"/>
            <w:vAlign w:val="center"/>
          </w:tcPr>
          <w:p w:rsidR="005A7B05" w:rsidRPr="00DF3117" w:rsidRDefault="005A7B05" w:rsidP="00A553A5">
            <w:pPr>
              <w:widowControl/>
              <w:jc w:val="center"/>
              <w:rPr>
                <w:rFonts w:ascii="宋体" w:hAnsi="宋体"/>
              </w:rPr>
            </w:pPr>
            <w:r w:rsidRPr="00DF3117">
              <w:rPr>
                <w:rFonts w:ascii="宋体" w:hAnsi="宋体" w:hint="eastAsia"/>
              </w:rPr>
              <w:t>运输损耗费</w:t>
            </w:r>
          </w:p>
        </w:tc>
        <w:tc>
          <w:tcPr>
            <w:tcW w:w="3688" w:type="pct"/>
            <w:vAlign w:val="center"/>
          </w:tcPr>
          <w:p w:rsidR="005A7B05" w:rsidRPr="00DF3117" w:rsidRDefault="005A7B05" w:rsidP="00A553A5">
            <w:pPr>
              <w:widowControl/>
              <w:jc w:val="left"/>
              <w:rPr>
                <w:rFonts w:ascii="宋体" w:hAnsi="宋体"/>
              </w:rPr>
            </w:pPr>
            <w:r w:rsidRPr="00DF3117">
              <w:rPr>
                <w:rFonts w:ascii="宋体" w:hAnsi="宋体" w:hint="eastAsia"/>
              </w:rPr>
              <w:t>运输过程所发生损耗增加费，以运输损耗率计算，</w:t>
            </w:r>
            <w:proofErr w:type="gramStart"/>
            <w:r w:rsidRPr="00DF3117">
              <w:rPr>
                <w:rFonts w:ascii="宋体" w:hAnsi="宋体" w:hint="eastAsia"/>
              </w:rPr>
              <w:t>随材料</w:t>
            </w:r>
            <w:proofErr w:type="gramEnd"/>
            <w:r w:rsidRPr="00DF3117">
              <w:rPr>
                <w:rFonts w:ascii="宋体" w:hAnsi="宋体" w:hint="eastAsia"/>
              </w:rPr>
              <w:t>原价和运杂费扣减而扣减。</w:t>
            </w:r>
          </w:p>
        </w:tc>
      </w:tr>
      <w:tr w:rsidR="005A7B05" w:rsidRPr="00DF3117" w:rsidTr="00A553A5">
        <w:trPr>
          <w:trHeight w:val="850"/>
          <w:jc w:val="center"/>
        </w:trPr>
        <w:tc>
          <w:tcPr>
            <w:tcW w:w="513" w:type="pct"/>
            <w:vAlign w:val="center"/>
          </w:tcPr>
          <w:p w:rsidR="005A7B05" w:rsidRPr="00DF3117" w:rsidRDefault="005A7B05" w:rsidP="00A553A5">
            <w:pPr>
              <w:widowControl/>
              <w:jc w:val="center"/>
              <w:rPr>
                <w:rFonts w:ascii="宋体" w:hAnsi="宋体"/>
                <w:b/>
              </w:rPr>
            </w:pPr>
            <w:r w:rsidRPr="00DF3117">
              <w:rPr>
                <w:rFonts w:ascii="宋体" w:hAnsi="宋体" w:hint="eastAsia"/>
                <w:b/>
              </w:rPr>
              <w:t>2</w:t>
            </w:r>
          </w:p>
        </w:tc>
        <w:tc>
          <w:tcPr>
            <w:tcW w:w="799" w:type="pct"/>
            <w:vAlign w:val="center"/>
          </w:tcPr>
          <w:p w:rsidR="005A7B05" w:rsidRPr="00DF3117" w:rsidRDefault="005A7B05" w:rsidP="00A553A5">
            <w:pPr>
              <w:widowControl/>
              <w:jc w:val="center"/>
              <w:rPr>
                <w:rFonts w:ascii="宋体" w:hAnsi="宋体"/>
                <w:b/>
              </w:rPr>
            </w:pPr>
            <w:r w:rsidRPr="00DF3117">
              <w:rPr>
                <w:rFonts w:ascii="宋体" w:hAnsi="宋体" w:hint="eastAsia"/>
                <w:b/>
              </w:rPr>
              <w:t>“一票制”</w:t>
            </w:r>
          </w:p>
          <w:p w:rsidR="005A7B05" w:rsidRPr="00DF3117" w:rsidRDefault="005A7B05" w:rsidP="00A553A5">
            <w:pPr>
              <w:widowControl/>
              <w:jc w:val="center"/>
              <w:rPr>
                <w:rFonts w:ascii="宋体" w:hAnsi="宋体"/>
                <w:b/>
              </w:rPr>
            </w:pPr>
            <w:r w:rsidRPr="00DF3117">
              <w:rPr>
                <w:rFonts w:ascii="宋体" w:hAnsi="宋体" w:hint="eastAsia"/>
                <w:b/>
              </w:rPr>
              <w:t>材料</w:t>
            </w:r>
          </w:p>
        </w:tc>
        <w:tc>
          <w:tcPr>
            <w:tcW w:w="3688" w:type="pct"/>
            <w:vAlign w:val="center"/>
          </w:tcPr>
          <w:p w:rsidR="005A7B05" w:rsidRPr="00DF3117" w:rsidRDefault="005A7B05" w:rsidP="00A553A5">
            <w:pPr>
              <w:widowControl/>
              <w:jc w:val="left"/>
              <w:rPr>
                <w:rFonts w:ascii="宋体" w:hAnsi="宋体"/>
                <w:b/>
              </w:rPr>
            </w:pPr>
            <w:r w:rsidRPr="00DF3117">
              <w:rPr>
                <w:rFonts w:ascii="宋体" w:hAnsi="宋体" w:hint="eastAsia"/>
                <w:b/>
              </w:rPr>
              <w:t>材料原价和运杂费、运输损耗费按以下方法分别扣减。</w:t>
            </w:r>
          </w:p>
        </w:tc>
      </w:tr>
      <w:tr w:rsidR="005A7B05" w:rsidRPr="00DF3117" w:rsidTr="00A553A5">
        <w:trPr>
          <w:trHeight w:val="850"/>
          <w:jc w:val="center"/>
        </w:trPr>
        <w:tc>
          <w:tcPr>
            <w:tcW w:w="513" w:type="pct"/>
            <w:vAlign w:val="center"/>
          </w:tcPr>
          <w:p w:rsidR="005A7B05" w:rsidRPr="00DF3117" w:rsidRDefault="005A7B05" w:rsidP="00A553A5">
            <w:pPr>
              <w:widowControl/>
              <w:jc w:val="center"/>
              <w:rPr>
                <w:rFonts w:ascii="宋体" w:hAnsi="宋体"/>
              </w:rPr>
            </w:pPr>
            <w:r w:rsidRPr="00DF3117">
              <w:rPr>
                <w:rFonts w:ascii="宋体" w:hAnsi="宋体" w:hint="eastAsia"/>
              </w:rPr>
              <w:t>2.1</w:t>
            </w:r>
          </w:p>
        </w:tc>
        <w:tc>
          <w:tcPr>
            <w:tcW w:w="799" w:type="pct"/>
            <w:vAlign w:val="center"/>
          </w:tcPr>
          <w:p w:rsidR="005A7B05" w:rsidRPr="00DF3117" w:rsidRDefault="005A7B05" w:rsidP="00A553A5">
            <w:pPr>
              <w:widowControl/>
              <w:jc w:val="center"/>
              <w:rPr>
                <w:rFonts w:ascii="宋体" w:hAnsi="宋体"/>
              </w:rPr>
            </w:pPr>
            <w:r w:rsidRPr="00DF3117">
              <w:rPr>
                <w:rFonts w:ascii="宋体" w:hAnsi="宋体" w:hint="eastAsia"/>
              </w:rPr>
              <w:t>材料原价+运杂费</w:t>
            </w:r>
          </w:p>
        </w:tc>
        <w:tc>
          <w:tcPr>
            <w:tcW w:w="3688" w:type="pct"/>
            <w:vAlign w:val="center"/>
          </w:tcPr>
          <w:p w:rsidR="005A7B05" w:rsidRPr="00DF3117" w:rsidRDefault="005A7B05" w:rsidP="00A553A5">
            <w:pPr>
              <w:widowControl/>
              <w:jc w:val="left"/>
              <w:rPr>
                <w:rFonts w:ascii="宋体" w:hAnsi="宋体"/>
              </w:rPr>
            </w:pPr>
            <w:r w:rsidRPr="00DF3117">
              <w:rPr>
                <w:rFonts w:ascii="宋体" w:hAnsi="宋体" w:hint="eastAsia"/>
              </w:rPr>
              <w:t>以购进货物适用的税率</w:t>
            </w:r>
            <w:r>
              <w:rPr>
                <w:rFonts w:ascii="宋体" w:hAnsi="宋体" w:hint="eastAsia"/>
              </w:rPr>
              <w:t>（</w:t>
            </w:r>
            <w:r w:rsidRPr="00DF3117">
              <w:rPr>
                <w:rFonts w:ascii="宋体" w:hAnsi="宋体" w:hint="eastAsia"/>
              </w:rPr>
              <w:t>17%、13%</w:t>
            </w:r>
            <w:r>
              <w:rPr>
                <w:rFonts w:ascii="宋体" w:hAnsi="宋体" w:hint="eastAsia"/>
              </w:rPr>
              <w:t>）</w:t>
            </w:r>
            <w:r w:rsidRPr="00DF3117">
              <w:rPr>
                <w:rFonts w:ascii="宋体" w:hAnsi="宋体" w:hint="eastAsia"/>
              </w:rPr>
              <w:t>或征收率</w:t>
            </w:r>
            <w:r>
              <w:rPr>
                <w:rFonts w:ascii="宋体" w:hAnsi="宋体" w:hint="eastAsia"/>
              </w:rPr>
              <w:t>（</w:t>
            </w:r>
            <w:r w:rsidRPr="00DF3117">
              <w:rPr>
                <w:rFonts w:ascii="宋体" w:hAnsi="宋体" w:hint="eastAsia"/>
              </w:rPr>
              <w:t>3%</w:t>
            </w:r>
            <w:r>
              <w:rPr>
                <w:rFonts w:ascii="宋体" w:hAnsi="宋体" w:hint="eastAsia"/>
              </w:rPr>
              <w:t>）</w:t>
            </w:r>
            <w:r w:rsidRPr="00DF3117">
              <w:rPr>
                <w:rFonts w:ascii="宋体" w:hAnsi="宋体" w:hint="eastAsia"/>
              </w:rPr>
              <w:t>扣减。</w:t>
            </w:r>
          </w:p>
        </w:tc>
      </w:tr>
      <w:tr w:rsidR="005A7B05" w:rsidRPr="00DF3117" w:rsidTr="00A553A5">
        <w:trPr>
          <w:trHeight w:val="850"/>
          <w:jc w:val="center"/>
        </w:trPr>
        <w:tc>
          <w:tcPr>
            <w:tcW w:w="513" w:type="pct"/>
            <w:vAlign w:val="center"/>
          </w:tcPr>
          <w:p w:rsidR="005A7B05" w:rsidRPr="00DF3117" w:rsidRDefault="005A7B05" w:rsidP="00A553A5">
            <w:pPr>
              <w:widowControl/>
              <w:jc w:val="center"/>
              <w:rPr>
                <w:rFonts w:ascii="宋体" w:hAnsi="宋体"/>
              </w:rPr>
            </w:pPr>
            <w:r w:rsidRPr="00DF3117">
              <w:rPr>
                <w:rFonts w:ascii="宋体" w:hAnsi="宋体" w:hint="eastAsia"/>
              </w:rPr>
              <w:t>2.2</w:t>
            </w:r>
          </w:p>
        </w:tc>
        <w:tc>
          <w:tcPr>
            <w:tcW w:w="799" w:type="pct"/>
            <w:vAlign w:val="center"/>
          </w:tcPr>
          <w:p w:rsidR="005A7B05" w:rsidRPr="00DF3117" w:rsidRDefault="005A7B05" w:rsidP="00A553A5">
            <w:pPr>
              <w:widowControl/>
              <w:jc w:val="center"/>
              <w:rPr>
                <w:rFonts w:ascii="宋体" w:hAnsi="宋体"/>
              </w:rPr>
            </w:pPr>
            <w:r w:rsidRPr="00DF3117">
              <w:rPr>
                <w:rFonts w:ascii="宋体" w:hAnsi="宋体" w:hint="eastAsia"/>
              </w:rPr>
              <w:t>运输损耗费</w:t>
            </w:r>
          </w:p>
        </w:tc>
        <w:tc>
          <w:tcPr>
            <w:tcW w:w="3688" w:type="pct"/>
            <w:vAlign w:val="center"/>
          </w:tcPr>
          <w:p w:rsidR="005A7B05" w:rsidRPr="00DF3117" w:rsidRDefault="005A7B05" w:rsidP="00A553A5">
            <w:pPr>
              <w:widowControl/>
              <w:jc w:val="left"/>
              <w:rPr>
                <w:rFonts w:ascii="宋体" w:hAnsi="宋体"/>
              </w:rPr>
            </w:pPr>
            <w:r w:rsidRPr="00DF3117">
              <w:rPr>
                <w:rFonts w:ascii="宋体" w:hAnsi="宋体" w:hint="eastAsia"/>
              </w:rPr>
              <w:t>运输过程所发生损耗增加费，以运输损耗率计算，</w:t>
            </w:r>
            <w:proofErr w:type="gramStart"/>
            <w:r w:rsidRPr="00DF3117">
              <w:rPr>
                <w:rFonts w:ascii="宋体" w:hAnsi="宋体" w:hint="eastAsia"/>
              </w:rPr>
              <w:t>随材料</w:t>
            </w:r>
            <w:proofErr w:type="gramEnd"/>
            <w:r w:rsidRPr="00DF3117">
              <w:rPr>
                <w:rFonts w:ascii="宋体" w:hAnsi="宋体" w:hint="eastAsia"/>
              </w:rPr>
              <w:t>原价和运杂费扣减而扣减。</w:t>
            </w:r>
          </w:p>
        </w:tc>
      </w:tr>
      <w:tr w:rsidR="005A7B05" w:rsidRPr="00DF3117" w:rsidTr="00A553A5">
        <w:trPr>
          <w:trHeight w:val="1247"/>
          <w:jc w:val="center"/>
        </w:trPr>
        <w:tc>
          <w:tcPr>
            <w:tcW w:w="513" w:type="pct"/>
            <w:vAlign w:val="center"/>
          </w:tcPr>
          <w:p w:rsidR="005A7B05" w:rsidRPr="00DF3117" w:rsidRDefault="005A7B05" w:rsidP="00A553A5">
            <w:pPr>
              <w:widowControl/>
              <w:jc w:val="center"/>
              <w:rPr>
                <w:rFonts w:ascii="宋体" w:hAnsi="宋体"/>
                <w:b/>
              </w:rPr>
            </w:pPr>
            <w:r w:rsidRPr="00DF3117">
              <w:rPr>
                <w:rFonts w:ascii="宋体" w:hAnsi="宋体" w:hint="eastAsia"/>
                <w:b/>
              </w:rPr>
              <w:t>3</w:t>
            </w:r>
          </w:p>
        </w:tc>
        <w:tc>
          <w:tcPr>
            <w:tcW w:w="799" w:type="pct"/>
            <w:vAlign w:val="center"/>
          </w:tcPr>
          <w:p w:rsidR="005A7B05" w:rsidRPr="00DF3117" w:rsidRDefault="005A7B05" w:rsidP="00A553A5">
            <w:pPr>
              <w:widowControl/>
              <w:jc w:val="center"/>
              <w:rPr>
                <w:rFonts w:ascii="宋体" w:hAnsi="宋体"/>
                <w:b/>
              </w:rPr>
            </w:pPr>
            <w:r w:rsidRPr="00DF3117">
              <w:rPr>
                <w:rFonts w:ascii="宋体" w:hAnsi="宋体" w:hint="eastAsia"/>
                <w:b/>
              </w:rPr>
              <w:t>采购及保管费</w:t>
            </w:r>
          </w:p>
        </w:tc>
        <w:tc>
          <w:tcPr>
            <w:tcW w:w="3688" w:type="pct"/>
            <w:vAlign w:val="center"/>
          </w:tcPr>
          <w:p w:rsidR="005A7B05" w:rsidRPr="00DF3117" w:rsidRDefault="005A7B05" w:rsidP="00A553A5">
            <w:pPr>
              <w:widowControl/>
              <w:jc w:val="left"/>
              <w:rPr>
                <w:rFonts w:ascii="宋体" w:hAnsi="宋体"/>
              </w:rPr>
            </w:pPr>
            <w:r w:rsidRPr="00DF3117">
              <w:rPr>
                <w:rFonts w:ascii="宋体" w:hAnsi="宋体" w:hint="eastAsia"/>
              </w:rPr>
              <w:t>主要包括材料的采购、供应和保管部门工作人员工资、办公费、差旅交通费、固定资产使用费、工具用具使用费及材料仓库存储损耗费等。调整分析测定可扣除费用比例和扣减系数调整采购及保管费。</w:t>
            </w:r>
          </w:p>
        </w:tc>
      </w:tr>
    </w:tbl>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lastRenderedPageBreak/>
        <w:t>表中：</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“两票制”材料，指材料供应商就收取的货物销售价款和运杂费向建筑业企业分别提供货物销售和交通运输两张发票的材料；</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“一票制”的材料，指材料供应商就收取的货物销售价款和运杂费合计金额向建筑业企业仅提供一张货物销售发票的材料。</w:t>
      </w:r>
    </w:p>
    <w:p w:rsidR="005A7B05" w:rsidRDefault="005A7B05" w:rsidP="005A7B05">
      <w:pPr>
        <w:spacing w:line="360" w:lineRule="auto"/>
        <w:ind w:firstLineChars="200" w:firstLine="480"/>
        <w:rPr>
          <w:rFonts w:ascii="宋体" w:hAnsi="宋体" w:hint="eastAsia"/>
          <w:sz w:val="24"/>
        </w:rPr>
      </w:pPr>
      <w:r w:rsidRPr="002E31C1">
        <w:rPr>
          <w:rFonts w:ascii="宋体" w:hAnsi="宋体" w:hint="eastAsia"/>
          <w:sz w:val="24"/>
        </w:rPr>
        <w:t>材料价格包括材料原价和运杂费等。其中，材料原价按以下《材料分类及适用税率表》进行扣减，运杂费均按交通运输业增值税税率11%进行扣减。</w:t>
      </w:r>
    </w:p>
    <w:p w:rsidR="005A7B05" w:rsidRPr="006E0E4E" w:rsidRDefault="005A7B05" w:rsidP="005A7B05">
      <w:pPr>
        <w:spacing w:line="360" w:lineRule="auto"/>
        <w:rPr>
          <w:rFonts w:ascii="宋体" w:hAnsi="宋体"/>
          <w:sz w:val="24"/>
        </w:rPr>
      </w:pPr>
    </w:p>
    <w:p w:rsidR="005A7B05" w:rsidRPr="008212C2" w:rsidRDefault="005A7B05" w:rsidP="005A7B05">
      <w:pPr>
        <w:spacing w:line="360" w:lineRule="auto"/>
        <w:jc w:val="center"/>
        <w:rPr>
          <w:rFonts w:ascii="黑体" w:eastAsia="黑体" w:hAnsi="黑体"/>
          <w:sz w:val="28"/>
          <w:szCs w:val="32"/>
        </w:rPr>
      </w:pPr>
      <w:r w:rsidRPr="008212C2">
        <w:rPr>
          <w:rFonts w:ascii="黑体" w:eastAsia="黑体" w:hAnsi="黑体" w:hint="eastAsia"/>
          <w:sz w:val="28"/>
          <w:szCs w:val="32"/>
        </w:rPr>
        <w:t>材料分类及适用税率表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44"/>
        <w:gridCol w:w="1417"/>
      </w:tblGrid>
      <w:tr w:rsidR="005A7B05" w:rsidRPr="00DF3117" w:rsidTr="00A553A5">
        <w:trPr>
          <w:trHeight w:val="737"/>
          <w:jc w:val="center"/>
        </w:trPr>
        <w:tc>
          <w:tcPr>
            <w:tcW w:w="4219" w:type="dxa"/>
            <w:vAlign w:val="center"/>
          </w:tcPr>
          <w:p w:rsidR="005A7B05" w:rsidRPr="00DF3117" w:rsidRDefault="005A7B05" w:rsidP="00A553A5">
            <w:pPr>
              <w:jc w:val="center"/>
              <w:rPr>
                <w:rFonts w:ascii="宋体" w:hAnsi="宋体"/>
                <w:szCs w:val="21"/>
              </w:rPr>
            </w:pPr>
            <w:r w:rsidRPr="00DF3117">
              <w:rPr>
                <w:rFonts w:ascii="宋体" w:hAnsi="宋体" w:hint="eastAsia"/>
                <w:szCs w:val="21"/>
              </w:rPr>
              <w:t>材料名称</w:t>
            </w:r>
          </w:p>
        </w:tc>
        <w:tc>
          <w:tcPr>
            <w:tcW w:w="3544" w:type="dxa"/>
            <w:vAlign w:val="center"/>
          </w:tcPr>
          <w:p w:rsidR="005A7B05" w:rsidRPr="00DF3117" w:rsidRDefault="005A7B05" w:rsidP="00A553A5">
            <w:pPr>
              <w:jc w:val="center"/>
              <w:rPr>
                <w:rFonts w:ascii="宋体" w:hAnsi="宋体"/>
                <w:szCs w:val="21"/>
              </w:rPr>
            </w:pPr>
            <w:r w:rsidRPr="00DF3117">
              <w:rPr>
                <w:rFonts w:ascii="宋体" w:hAnsi="宋体" w:hint="eastAsia"/>
                <w:szCs w:val="21"/>
              </w:rPr>
              <w:t>依据文件</w:t>
            </w:r>
          </w:p>
        </w:tc>
        <w:tc>
          <w:tcPr>
            <w:tcW w:w="1417" w:type="dxa"/>
            <w:vAlign w:val="center"/>
          </w:tcPr>
          <w:p w:rsidR="005A7B05" w:rsidRPr="00DF3117" w:rsidRDefault="005A7B05" w:rsidP="00A553A5">
            <w:pPr>
              <w:jc w:val="center"/>
              <w:rPr>
                <w:rFonts w:ascii="宋体" w:hAnsi="宋体"/>
                <w:szCs w:val="21"/>
              </w:rPr>
            </w:pPr>
            <w:r w:rsidRPr="00DF3117">
              <w:rPr>
                <w:rFonts w:ascii="宋体" w:hAnsi="宋体" w:hint="eastAsia"/>
                <w:szCs w:val="21"/>
              </w:rPr>
              <w:t>税率</w:t>
            </w:r>
          </w:p>
          <w:p w:rsidR="005A7B05" w:rsidRPr="00DF3117" w:rsidRDefault="005A7B05" w:rsidP="00A553A5">
            <w:pPr>
              <w:jc w:val="center"/>
              <w:rPr>
                <w:rFonts w:ascii="宋体" w:hAnsi="宋体"/>
                <w:szCs w:val="21"/>
              </w:rPr>
            </w:pPr>
            <w:r w:rsidRPr="00DF3117">
              <w:rPr>
                <w:rFonts w:ascii="宋体" w:hAnsi="宋体" w:hint="eastAsia"/>
                <w:szCs w:val="21"/>
              </w:rPr>
              <w:t>（征收率）</w:t>
            </w:r>
          </w:p>
        </w:tc>
      </w:tr>
      <w:tr w:rsidR="005A7B05" w:rsidRPr="00DF3117" w:rsidTr="00A553A5">
        <w:trPr>
          <w:trHeight w:val="2211"/>
          <w:jc w:val="center"/>
        </w:trPr>
        <w:tc>
          <w:tcPr>
            <w:tcW w:w="4219" w:type="dxa"/>
            <w:vAlign w:val="center"/>
          </w:tcPr>
          <w:p w:rsidR="005A7B05" w:rsidRPr="00DF3117" w:rsidRDefault="005A7B05" w:rsidP="00A553A5">
            <w:pPr>
              <w:rPr>
                <w:rFonts w:ascii="宋体" w:hAnsi="宋体"/>
                <w:szCs w:val="21"/>
              </w:rPr>
            </w:pPr>
            <w:r w:rsidRPr="00DF3117">
              <w:rPr>
                <w:rFonts w:ascii="宋体" w:hAnsi="宋体" w:hint="eastAsia"/>
                <w:szCs w:val="21"/>
              </w:rPr>
              <w:t>建筑用和生产建筑材料所用的砂、土、石料、自来水、商品混凝土（仅限于以水泥为原料生产的水泥混凝土）；</w:t>
            </w:r>
          </w:p>
          <w:p w:rsidR="005A7B05" w:rsidRPr="00DF3117" w:rsidRDefault="005A7B05" w:rsidP="00A553A5">
            <w:pPr>
              <w:rPr>
                <w:rFonts w:ascii="宋体" w:hAnsi="宋体"/>
                <w:szCs w:val="21"/>
              </w:rPr>
            </w:pPr>
            <w:r w:rsidRPr="00DF3117">
              <w:rPr>
                <w:rFonts w:ascii="宋体" w:hAnsi="宋体" w:hint="eastAsia"/>
                <w:szCs w:val="21"/>
              </w:rPr>
              <w:t>以自己采掘的砂、土、石料或其他矿物连续生产的砖、瓦、石灰（不含粘土实心砖、瓦）</w:t>
            </w:r>
          </w:p>
        </w:tc>
        <w:tc>
          <w:tcPr>
            <w:tcW w:w="3544" w:type="dxa"/>
            <w:vAlign w:val="center"/>
          </w:tcPr>
          <w:p w:rsidR="005A7B05" w:rsidRPr="00DF3117" w:rsidRDefault="005A7B05" w:rsidP="00A553A5">
            <w:pPr>
              <w:rPr>
                <w:rFonts w:ascii="宋体" w:hAnsi="宋体"/>
                <w:szCs w:val="21"/>
              </w:rPr>
            </w:pPr>
            <w:r w:rsidRPr="00DF3117">
              <w:rPr>
                <w:rFonts w:ascii="宋体" w:hAnsi="宋体" w:hint="eastAsia"/>
                <w:szCs w:val="21"/>
              </w:rPr>
              <w:t>财税[2014]57号【关于简并增值税征收率政策的通知】</w:t>
            </w:r>
          </w:p>
        </w:tc>
        <w:tc>
          <w:tcPr>
            <w:tcW w:w="1417" w:type="dxa"/>
            <w:vAlign w:val="center"/>
          </w:tcPr>
          <w:p w:rsidR="005A7B05" w:rsidRPr="00DF3117" w:rsidRDefault="005A7B05" w:rsidP="00A553A5">
            <w:pPr>
              <w:jc w:val="center"/>
              <w:rPr>
                <w:rFonts w:ascii="宋体" w:hAnsi="宋体"/>
                <w:szCs w:val="21"/>
              </w:rPr>
            </w:pPr>
            <w:r w:rsidRPr="00DF3117">
              <w:rPr>
                <w:rFonts w:ascii="宋体" w:hAnsi="宋体" w:hint="eastAsia"/>
                <w:szCs w:val="21"/>
              </w:rPr>
              <w:t>3%</w:t>
            </w:r>
          </w:p>
        </w:tc>
      </w:tr>
      <w:tr w:rsidR="005A7B05" w:rsidRPr="00DF3117" w:rsidTr="00A553A5">
        <w:trPr>
          <w:trHeight w:val="2211"/>
          <w:jc w:val="center"/>
        </w:trPr>
        <w:tc>
          <w:tcPr>
            <w:tcW w:w="4219" w:type="dxa"/>
            <w:vAlign w:val="center"/>
          </w:tcPr>
          <w:p w:rsidR="005A7B05" w:rsidRPr="00DF3117" w:rsidRDefault="005A7B05" w:rsidP="00A553A5">
            <w:pPr>
              <w:rPr>
                <w:rFonts w:ascii="宋体" w:hAnsi="宋体"/>
                <w:szCs w:val="21"/>
              </w:rPr>
            </w:pPr>
            <w:r w:rsidRPr="00DF3117">
              <w:rPr>
                <w:rFonts w:ascii="宋体" w:hAnsi="宋体" w:hint="eastAsia"/>
                <w:szCs w:val="21"/>
              </w:rPr>
              <w:t>煤炭、农膜、草皮、麦秸（糠）、稻草（壳）、暖气、冷气、热水、煤气、石油液化气、天然气、沼气、居民用煤炭制品；</w:t>
            </w:r>
          </w:p>
        </w:tc>
        <w:tc>
          <w:tcPr>
            <w:tcW w:w="3544" w:type="dxa"/>
            <w:vAlign w:val="center"/>
          </w:tcPr>
          <w:p w:rsidR="005A7B05" w:rsidRPr="00DF3117" w:rsidRDefault="005A7B05" w:rsidP="00A553A5">
            <w:pPr>
              <w:rPr>
                <w:rFonts w:ascii="宋体" w:hAnsi="宋体"/>
                <w:szCs w:val="21"/>
              </w:rPr>
            </w:pPr>
            <w:r w:rsidRPr="00DF3117">
              <w:rPr>
                <w:rFonts w:ascii="宋体" w:hAnsi="宋体" w:hint="eastAsia"/>
                <w:szCs w:val="21"/>
              </w:rPr>
              <w:t>财税[2009]9号文【财政部 国家税务总局关于部分货物适用增值税低税率和简易办法征收增值税政策的通知】、财税字[1995]52号文【财政部 国家税务总局关于印发《农业产品征税范围注释》的通知】</w:t>
            </w:r>
          </w:p>
        </w:tc>
        <w:tc>
          <w:tcPr>
            <w:tcW w:w="1417" w:type="dxa"/>
            <w:vAlign w:val="center"/>
          </w:tcPr>
          <w:p w:rsidR="005A7B05" w:rsidRPr="00DF3117" w:rsidRDefault="005A7B05" w:rsidP="00A553A5">
            <w:pPr>
              <w:jc w:val="center"/>
              <w:rPr>
                <w:rFonts w:ascii="宋体" w:hAnsi="宋体"/>
                <w:szCs w:val="21"/>
              </w:rPr>
            </w:pPr>
            <w:r w:rsidRPr="00DF3117">
              <w:rPr>
                <w:rFonts w:ascii="宋体" w:hAnsi="宋体" w:hint="eastAsia"/>
                <w:szCs w:val="21"/>
              </w:rPr>
              <w:t>13%</w:t>
            </w:r>
          </w:p>
        </w:tc>
      </w:tr>
      <w:tr w:rsidR="005A7B05" w:rsidRPr="00DF3117" w:rsidTr="00A553A5">
        <w:trPr>
          <w:trHeight w:val="1629"/>
          <w:jc w:val="center"/>
        </w:trPr>
        <w:tc>
          <w:tcPr>
            <w:tcW w:w="4219" w:type="dxa"/>
            <w:vAlign w:val="center"/>
          </w:tcPr>
          <w:p w:rsidR="005A7B05" w:rsidRPr="00DF3117" w:rsidRDefault="005A7B05" w:rsidP="00A553A5">
            <w:pPr>
              <w:rPr>
                <w:rFonts w:ascii="宋体" w:hAnsi="宋体"/>
                <w:szCs w:val="21"/>
              </w:rPr>
            </w:pPr>
            <w:r w:rsidRPr="00DF3117">
              <w:rPr>
                <w:rFonts w:ascii="宋体" w:hAnsi="宋体" w:hint="eastAsia"/>
                <w:szCs w:val="21"/>
              </w:rPr>
              <w:t>其余材料</w:t>
            </w:r>
          </w:p>
        </w:tc>
        <w:tc>
          <w:tcPr>
            <w:tcW w:w="3544" w:type="dxa"/>
            <w:vAlign w:val="center"/>
          </w:tcPr>
          <w:p w:rsidR="005A7B05" w:rsidRPr="00DF3117" w:rsidRDefault="005A7B05" w:rsidP="00A553A5">
            <w:pPr>
              <w:rPr>
                <w:rFonts w:ascii="宋体" w:hAnsi="宋体"/>
                <w:szCs w:val="21"/>
              </w:rPr>
            </w:pPr>
            <w:r w:rsidRPr="00DF3117">
              <w:rPr>
                <w:rFonts w:ascii="宋体" w:hAnsi="宋体" w:hint="eastAsia"/>
                <w:szCs w:val="21"/>
              </w:rPr>
              <w:t>财税[2009]9号文【财政部 国家税务总局关于部分货物适用增值税低税率和简易办法征收增值税政策的通知】</w:t>
            </w:r>
          </w:p>
        </w:tc>
        <w:tc>
          <w:tcPr>
            <w:tcW w:w="1417" w:type="dxa"/>
            <w:vAlign w:val="center"/>
          </w:tcPr>
          <w:p w:rsidR="005A7B05" w:rsidRPr="00DF3117" w:rsidRDefault="005A7B05" w:rsidP="00A553A5">
            <w:pPr>
              <w:jc w:val="center"/>
              <w:rPr>
                <w:rFonts w:ascii="宋体" w:hAnsi="宋体"/>
                <w:szCs w:val="21"/>
              </w:rPr>
            </w:pPr>
            <w:r w:rsidRPr="00DF3117">
              <w:rPr>
                <w:rFonts w:ascii="宋体" w:hAnsi="宋体" w:hint="eastAsia"/>
                <w:szCs w:val="21"/>
              </w:rPr>
              <w:t>17%</w:t>
            </w:r>
          </w:p>
        </w:tc>
      </w:tr>
    </w:tbl>
    <w:p w:rsidR="005A7B05" w:rsidRPr="008212C2" w:rsidRDefault="005A7B05" w:rsidP="005A7B05">
      <w:pPr>
        <w:spacing w:before="240" w:line="360" w:lineRule="auto"/>
        <w:rPr>
          <w:rFonts w:ascii="黑体" w:eastAsia="黑体" w:hAnsi="黑体"/>
          <w:sz w:val="28"/>
          <w:szCs w:val="32"/>
        </w:rPr>
      </w:pPr>
      <w:r w:rsidRPr="008212C2">
        <w:rPr>
          <w:rFonts w:ascii="黑体" w:eastAsia="黑体" w:hAnsi="黑体" w:hint="eastAsia"/>
          <w:sz w:val="28"/>
          <w:szCs w:val="32"/>
        </w:rPr>
        <w:t>三、调整基本公式（参考）</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C△=</w:t>
      </w:r>
      <w:proofErr w:type="spellStart"/>
      <w:r w:rsidRPr="002E31C1">
        <w:rPr>
          <w:rFonts w:ascii="宋体" w:hAnsi="宋体" w:hint="eastAsia"/>
          <w:sz w:val="24"/>
        </w:rPr>
        <w:t>Cb</w:t>
      </w:r>
      <w:proofErr w:type="spellEnd"/>
      <w:r w:rsidRPr="002E31C1">
        <w:rPr>
          <w:rFonts w:ascii="宋体" w:hAnsi="宋体" w:hint="eastAsia"/>
          <w:sz w:val="24"/>
        </w:rPr>
        <w:t>·T/（1+T）；</w:t>
      </w:r>
      <w:proofErr w:type="spellStart"/>
      <w:r w:rsidRPr="002E31C1">
        <w:rPr>
          <w:rFonts w:ascii="宋体" w:hAnsi="宋体" w:hint="eastAsia"/>
          <w:sz w:val="24"/>
        </w:rPr>
        <w:t>Cv</w:t>
      </w:r>
      <w:proofErr w:type="spellEnd"/>
      <w:r w:rsidRPr="002E31C1">
        <w:rPr>
          <w:rFonts w:ascii="宋体" w:hAnsi="宋体" w:hint="eastAsia"/>
          <w:sz w:val="24"/>
        </w:rPr>
        <w:t>=</w:t>
      </w:r>
      <w:proofErr w:type="spellStart"/>
      <w:r w:rsidRPr="002E31C1">
        <w:rPr>
          <w:rFonts w:ascii="宋体" w:hAnsi="宋体" w:hint="eastAsia"/>
          <w:sz w:val="24"/>
        </w:rPr>
        <w:t>Cb</w:t>
      </w:r>
      <w:proofErr w:type="spellEnd"/>
      <w:r w:rsidRPr="002E31C1">
        <w:rPr>
          <w:rFonts w:ascii="宋体" w:hAnsi="宋体" w:hint="eastAsia"/>
          <w:sz w:val="24"/>
        </w:rPr>
        <w:t>/</w:t>
      </w:r>
      <w:r>
        <w:rPr>
          <w:rFonts w:ascii="宋体" w:hAnsi="宋体" w:hint="eastAsia"/>
          <w:sz w:val="24"/>
        </w:rPr>
        <w:t>（</w:t>
      </w:r>
      <w:r w:rsidRPr="002E31C1">
        <w:rPr>
          <w:rFonts w:ascii="宋体" w:hAnsi="宋体" w:hint="eastAsia"/>
          <w:sz w:val="24"/>
        </w:rPr>
        <w:t>1+T</w:t>
      </w:r>
      <w:r>
        <w:rPr>
          <w:rFonts w:ascii="宋体" w:hAnsi="宋体" w:hint="eastAsia"/>
          <w:sz w:val="24"/>
        </w:rPr>
        <w:t>）；</w:t>
      </w:r>
      <w:r w:rsidRPr="002E31C1">
        <w:rPr>
          <w:rFonts w:ascii="宋体" w:hAnsi="宋体" w:hint="eastAsia"/>
          <w:sz w:val="24"/>
        </w:rPr>
        <w:t>K=1/</w:t>
      </w:r>
      <w:r>
        <w:rPr>
          <w:rFonts w:ascii="宋体" w:hAnsi="宋体" w:hint="eastAsia"/>
          <w:sz w:val="24"/>
        </w:rPr>
        <w:t>（</w:t>
      </w:r>
      <w:r w:rsidRPr="002E31C1">
        <w:rPr>
          <w:rFonts w:ascii="宋体" w:hAnsi="宋体" w:hint="eastAsia"/>
          <w:sz w:val="24"/>
        </w:rPr>
        <w:t>1+T</w:t>
      </w:r>
      <w:r>
        <w:rPr>
          <w:rFonts w:ascii="宋体" w:hAnsi="宋体" w:hint="eastAsia"/>
          <w:sz w:val="24"/>
        </w:rPr>
        <w:t>）</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式中：</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C△——营业税下材料可抵扣进项税额；</w:t>
      </w:r>
    </w:p>
    <w:p w:rsidR="005A7B05" w:rsidRPr="002E31C1" w:rsidRDefault="005A7B05" w:rsidP="005A7B05">
      <w:pPr>
        <w:spacing w:line="360" w:lineRule="auto"/>
        <w:ind w:firstLineChars="200" w:firstLine="480"/>
        <w:rPr>
          <w:rFonts w:ascii="宋体" w:hAnsi="宋体"/>
          <w:sz w:val="24"/>
        </w:rPr>
      </w:pPr>
      <w:proofErr w:type="spellStart"/>
      <w:r w:rsidRPr="002E31C1">
        <w:rPr>
          <w:rFonts w:ascii="宋体" w:hAnsi="宋体" w:hint="eastAsia"/>
          <w:sz w:val="24"/>
        </w:rPr>
        <w:t>Cb</w:t>
      </w:r>
      <w:proofErr w:type="spellEnd"/>
      <w:r w:rsidRPr="002E31C1">
        <w:rPr>
          <w:rFonts w:ascii="宋体" w:hAnsi="宋体" w:hint="eastAsia"/>
          <w:sz w:val="24"/>
        </w:rPr>
        <w:t>——营业税下材料价格；</w:t>
      </w:r>
    </w:p>
    <w:p w:rsidR="005A7B05" w:rsidRPr="002E31C1" w:rsidRDefault="005A7B05" w:rsidP="005A7B05">
      <w:pPr>
        <w:spacing w:line="360" w:lineRule="auto"/>
        <w:ind w:firstLineChars="200" w:firstLine="480"/>
        <w:rPr>
          <w:rFonts w:ascii="宋体" w:hAnsi="宋体"/>
          <w:sz w:val="24"/>
        </w:rPr>
      </w:pPr>
      <w:proofErr w:type="spellStart"/>
      <w:r w:rsidRPr="002E31C1">
        <w:rPr>
          <w:rFonts w:ascii="宋体" w:hAnsi="宋体" w:hint="eastAsia"/>
          <w:sz w:val="24"/>
        </w:rPr>
        <w:lastRenderedPageBreak/>
        <w:t>Cv</w:t>
      </w:r>
      <w:proofErr w:type="spellEnd"/>
      <w:r w:rsidRPr="002E31C1">
        <w:rPr>
          <w:rFonts w:ascii="宋体" w:hAnsi="宋体" w:hint="eastAsia"/>
          <w:sz w:val="24"/>
        </w:rPr>
        <w:t>——扣减进项税额材料价格；</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T——材料适用的平均税率；</w:t>
      </w:r>
    </w:p>
    <w:p w:rsidR="005A7B05" w:rsidRPr="002E31C1" w:rsidRDefault="005A7B05" w:rsidP="005A7B05">
      <w:pPr>
        <w:spacing w:line="360" w:lineRule="auto"/>
        <w:ind w:firstLineChars="200" w:firstLine="480"/>
        <w:rPr>
          <w:rFonts w:ascii="宋体" w:hAnsi="宋体"/>
          <w:sz w:val="24"/>
        </w:rPr>
      </w:pPr>
      <w:r w:rsidRPr="002E31C1">
        <w:rPr>
          <w:rFonts w:ascii="宋体" w:hAnsi="宋体" w:hint="eastAsia"/>
          <w:sz w:val="24"/>
        </w:rPr>
        <w:t>K——材料扣减系数。</w:t>
      </w:r>
    </w:p>
    <w:p w:rsidR="005A7B05" w:rsidRPr="008212C2" w:rsidRDefault="005A7B05" w:rsidP="005A7B05">
      <w:pPr>
        <w:spacing w:before="240" w:line="360" w:lineRule="auto"/>
        <w:rPr>
          <w:rFonts w:ascii="黑体" w:eastAsia="黑体" w:hAnsi="黑体"/>
          <w:sz w:val="28"/>
          <w:szCs w:val="32"/>
        </w:rPr>
      </w:pPr>
      <w:r w:rsidRPr="008212C2">
        <w:rPr>
          <w:rFonts w:ascii="黑体" w:eastAsia="黑体" w:hAnsi="黑体" w:hint="eastAsia"/>
          <w:sz w:val="28"/>
          <w:szCs w:val="32"/>
        </w:rPr>
        <w:t>四、定额材料基价进项</w:t>
      </w:r>
      <w:proofErr w:type="gramStart"/>
      <w:r w:rsidRPr="008212C2">
        <w:rPr>
          <w:rFonts w:ascii="黑体" w:eastAsia="黑体" w:hAnsi="黑体" w:hint="eastAsia"/>
          <w:sz w:val="28"/>
          <w:szCs w:val="32"/>
        </w:rPr>
        <w:t>税调整</w:t>
      </w:r>
      <w:proofErr w:type="gramEnd"/>
      <w:r w:rsidRPr="008212C2">
        <w:rPr>
          <w:rFonts w:ascii="黑体" w:eastAsia="黑体" w:hAnsi="黑体" w:hint="eastAsia"/>
          <w:sz w:val="28"/>
          <w:szCs w:val="32"/>
        </w:rPr>
        <w:t>系数</w:t>
      </w:r>
    </w:p>
    <w:p w:rsidR="005A7B05" w:rsidRDefault="005A7B05" w:rsidP="005A7B05">
      <w:pPr>
        <w:spacing w:line="360" w:lineRule="auto"/>
        <w:ind w:firstLineChars="200" w:firstLine="480"/>
        <w:rPr>
          <w:rFonts w:ascii="宋体" w:hAnsi="宋体" w:hint="eastAsia"/>
          <w:sz w:val="24"/>
        </w:rPr>
      </w:pPr>
      <w:r w:rsidRPr="002E31C1">
        <w:rPr>
          <w:rFonts w:ascii="宋体" w:hAnsi="宋体" w:hint="eastAsia"/>
          <w:sz w:val="24"/>
        </w:rPr>
        <w:t>在编制建设工程设计概算、施工图预算、招标控制价时，应使用不含税价格调整材料费，对直接使用定额材料基价计价的材料，依据下列综合调整系数扣除15定额中相应材料进项税。</w:t>
      </w:r>
    </w:p>
    <w:p w:rsidR="005A7B05" w:rsidRPr="002E31C1" w:rsidRDefault="005A7B05" w:rsidP="005A7B05">
      <w:pPr>
        <w:spacing w:line="360" w:lineRule="auto"/>
        <w:ind w:firstLineChars="200" w:firstLine="480"/>
        <w:rPr>
          <w:rFonts w:ascii="宋体" w:hAnsi="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1429"/>
        <w:gridCol w:w="3720"/>
      </w:tblGrid>
      <w:tr w:rsidR="005A7B05" w:rsidRPr="00DF3117" w:rsidTr="00A553A5">
        <w:trPr>
          <w:trHeight w:val="651"/>
          <w:jc w:val="center"/>
        </w:trPr>
        <w:tc>
          <w:tcPr>
            <w:tcW w:w="1897"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购进材料税率或征收率</w:t>
            </w:r>
          </w:p>
        </w:tc>
        <w:tc>
          <w:tcPr>
            <w:tcW w:w="861"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调整系数</w:t>
            </w:r>
          </w:p>
        </w:tc>
        <w:tc>
          <w:tcPr>
            <w:tcW w:w="2242"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调整方法</w:t>
            </w:r>
          </w:p>
        </w:tc>
      </w:tr>
      <w:tr w:rsidR="005A7B05" w:rsidRPr="00DF3117" w:rsidTr="00A553A5">
        <w:trPr>
          <w:trHeight w:val="651"/>
          <w:jc w:val="center"/>
        </w:trPr>
        <w:tc>
          <w:tcPr>
            <w:tcW w:w="1897"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17%</w:t>
            </w:r>
          </w:p>
        </w:tc>
        <w:tc>
          <w:tcPr>
            <w:tcW w:w="861"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85.77%</w:t>
            </w:r>
          </w:p>
        </w:tc>
        <w:tc>
          <w:tcPr>
            <w:tcW w:w="2242"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定额材料单价乘以调整系数</w:t>
            </w:r>
          </w:p>
        </w:tc>
      </w:tr>
      <w:tr w:rsidR="005A7B05" w:rsidRPr="00DF3117" w:rsidTr="00A553A5">
        <w:trPr>
          <w:trHeight w:val="651"/>
          <w:jc w:val="center"/>
        </w:trPr>
        <w:tc>
          <w:tcPr>
            <w:tcW w:w="1897"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13%</w:t>
            </w:r>
          </w:p>
        </w:tc>
        <w:tc>
          <w:tcPr>
            <w:tcW w:w="861"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88.73%</w:t>
            </w:r>
          </w:p>
        </w:tc>
        <w:tc>
          <w:tcPr>
            <w:tcW w:w="2242"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定额材料单价乘以调整系数</w:t>
            </w:r>
          </w:p>
        </w:tc>
      </w:tr>
      <w:tr w:rsidR="005A7B05" w:rsidRPr="00DF3117" w:rsidTr="00A553A5">
        <w:trPr>
          <w:trHeight w:val="651"/>
          <w:jc w:val="center"/>
        </w:trPr>
        <w:tc>
          <w:tcPr>
            <w:tcW w:w="1897"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3%</w:t>
            </w:r>
          </w:p>
        </w:tc>
        <w:tc>
          <w:tcPr>
            <w:tcW w:w="861"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97.15%</w:t>
            </w:r>
          </w:p>
        </w:tc>
        <w:tc>
          <w:tcPr>
            <w:tcW w:w="2242" w:type="pct"/>
            <w:vAlign w:val="center"/>
          </w:tcPr>
          <w:p w:rsidR="005A7B05" w:rsidRPr="00DF3117" w:rsidRDefault="005A7B05" w:rsidP="00A553A5">
            <w:pPr>
              <w:spacing w:line="276" w:lineRule="auto"/>
              <w:jc w:val="center"/>
              <w:rPr>
                <w:rFonts w:ascii="宋体" w:hAnsi="宋体"/>
                <w:sz w:val="22"/>
                <w:szCs w:val="32"/>
              </w:rPr>
            </w:pPr>
            <w:r w:rsidRPr="00DF3117">
              <w:rPr>
                <w:rFonts w:ascii="宋体" w:hAnsi="宋体" w:hint="eastAsia"/>
                <w:sz w:val="22"/>
                <w:szCs w:val="32"/>
              </w:rPr>
              <w:t>定额材料单价乘以调整系数</w:t>
            </w:r>
          </w:p>
        </w:tc>
      </w:tr>
    </w:tbl>
    <w:p w:rsidR="005A7B05" w:rsidRDefault="005A7B05" w:rsidP="005A7B05">
      <w:pPr>
        <w:rPr>
          <w:rFonts w:hint="eastAsia"/>
        </w:rPr>
      </w:pPr>
    </w:p>
    <w:p w:rsidR="005A7B05" w:rsidRPr="006E0E4E" w:rsidRDefault="005A7B05" w:rsidP="005A7B05">
      <w:pPr>
        <w:pStyle w:val="1"/>
        <w:rPr>
          <w:sz w:val="36"/>
        </w:rPr>
      </w:pPr>
      <w:r>
        <w:rPr>
          <w:sz w:val="36"/>
        </w:rPr>
        <w:br w:type="page"/>
      </w:r>
      <w:bookmarkStart w:id="18" w:name="_Toc450141083"/>
      <w:bookmarkStart w:id="19" w:name="_Toc450251057"/>
      <w:r>
        <w:rPr>
          <w:rFonts w:hint="eastAsia"/>
          <w:sz w:val="36"/>
        </w:rPr>
        <w:lastRenderedPageBreak/>
        <w:t>四川省</w:t>
      </w:r>
      <w:r w:rsidRPr="006E0E4E">
        <w:rPr>
          <w:rFonts w:hint="eastAsia"/>
          <w:sz w:val="36"/>
        </w:rPr>
        <w:t>附件</w:t>
      </w:r>
      <w:r w:rsidRPr="006E0E4E">
        <w:rPr>
          <w:rFonts w:hint="eastAsia"/>
          <w:sz w:val="36"/>
        </w:rPr>
        <w:t>3</w:t>
      </w:r>
      <w:r w:rsidRPr="006E0E4E">
        <w:rPr>
          <w:rFonts w:hint="eastAsia"/>
          <w:sz w:val="36"/>
        </w:rPr>
        <w:t>：</w:t>
      </w:r>
      <w:bookmarkEnd w:id="18"/>
      <w:bookmarkEnd w:id="19"/>
    </w:p>
    <w:p w:rsidR="005A7B05" w:rsidRPr="006E0E4E" w:rsidRDefault="005A7B05" w:rsidP="005A7B05">
      <w:pPr>
        <w:pStyle w:val="1"/>
        <w:spacing w:before="0" w:after="0"/>
        <w:jc w:val="center"/>
      </w:pPr>
      <w:bookmarkStart w:id="20" w:name="_Toc450127562"/>
      <w:bookmarkStart w:id="21" w:name="_Toc450139151"/>
      <w:bookmarkStart w:id="22" w:name="_Toc450141084"/>
      <w:bookmarkStart w:id="23" w:name="_Toc450251058"/>
      <w:r w:rsidRPr="006E0E4E">
        <w:rPr>
          <w:rFonts w:hint="eastAsia"/>
        </w:rPr>
        <w:t>计价表格的调整</w:t>
      </w:r>
      <w:bookmarkEnd w:id="20"/>
      <w:bookmarkEnd w:id="21"/>
      <w:bookmarkEnd w:id="22"/>
      <w:bookmarkEnd w:id="23"/>
    </w:p>
    <w:tbl>
      <w:tblPr>
        <w:tblW w:w="8855" w:type="dxa"/>
        <w:jc w:val="center"/>
        <w:tblLook w:val="04A0" w:firstRow="1" w:lastRow="0" w:firstColumn="1" w:lastColumn="0" w:noHBand="0" w:noVBand="1"/>
      </w:tblPr>
      <w:tblGrid>
        <w:gridCol w:w="1200"/>
        <w:gridCol w:w="5336"/>
        <w:gridCol w:w="164"/>
        <w:gridCol w:w="712"/>
        <w:gridCol w:w="460"/>
        <w:gridCol w:w="983"/>
      </w:tblGrid>
      <w:tr w:rsidR="005A7B05" w:rsidRPr="00DF3117" w:rsidTr="00A553A5">
        <w:trPr>
          <w:trHeight w:val="153"/>
          <w:jc w:val="center"/>
        </w:trPr>
        <w:tc>
          <w:tcPr>
            <w:tcW w:w="6700" w:type="dxa"/>
            <w:gridSpan w:val="3"/>
            <w:tcBorders>
              <w:top w:val="nil"/>
              <w:left w:val="nil"/>
              <w:right w:val="nil"/>
            </w:tcBorders>
            <w:shd w:val="clear" w:color="auto" w:fill="auto"/>
            <w:noWrap/>
            <w:vAlign w:val="bottom"/>
            <w:hideMark/>
          </w:tcPr>
          <w:p w:rsidR="005A7B05" w:rsidRPr="0024598B" w:rsidRDefault="005A7B05" w:rsidP="00A553A5">
            <w:pPr>
              <w:widowControl/>
              <w:spacing w:line="260" w:lineRule="exact"/>
              <w:rPr>
                <w:rFonts w:ascii="黑体" w:eastAsia="黑体" w:hAnsi="黑体" w:cs="宋体"/>
                <w:color w:val="000000"/>
                <w:kern w:val="0"/>
                <w:sz w:val="32"/>
                <w:szCs w:val="32"/>
              </w:rPr>
            </w:pPr>
          </w:p>
        </w:tc>
        <w:tc>
          <w:tcPr>
            <w:tcW w:w="1172" w:type="dxa"/>
            <w:gridSpan w:val="2"/>
            <w:tcBorders>
              <w:top w:val="nil"/>
              <w:left w:val="nil"/>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4"/>
              </w:rPr>
            </w:pPr>
          </w:p>
        </w:tc>
        <w:tc>
          <w:tcPr>
            <w:tcW w:w="983" w:type="dxa"/>
            <w:tcBorders>
              <w:top w:val="nil"/>
              <w:left w:val="nil"/>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4"/>
              </w:rPr>
            </w:pPr>
          </w:p>
        </w:tc>
      </w:tr>
      <w:tr w:rsidR="005A7B05" w:rsidRPr="00DF3117" w:rsidTr="00A553A5">
        <w:trPr>
          <w:trHeight w:val="556"/>
          <w:jc w:val="center"/>
        </w:trPr>
        <w:tc>
          <w:tcPr>
            <w:tcW w:w="8855" w:type="dxa"/>
            <w:gridSpan w:val="6"/>
            <w:shd w:val="clear" w:color="auto" w:fill="auto"/>
            <w:vAlign w:val="center"/>
            <w:hideMark/>
          </w:tcPr>
          <w:p w:rsidR="005A7B05" w:rsidRPr="00DF3117" w:rsidRDefault="005A7B05" w:rsidP="00A553A5">
            <w:pPr>
              <w:jc w:val="center"/>
              <w:rPr>
                <w:rFonts w:ascii="黑体" w:eastAsia="黑体" w:hAnsi="黑体"/>
                <w:sz w:val="28"/>
                <w:szCs w:val="32"/>
              </w:rPr>
            </w:pPr>
            <w:r w:rsidRPr="00DF3117">
              <w:rPr>
                <w:rFonts w:ascii="黑体" w:eastAsia="黑体" w:hAnsi="黑体" w:hint="eastAsia"/>
                <w:sz w:val="28"/>
                <w:szCs w:val="32"/>
              </w:rPr>
              <w:t>E.3 单位工程招标控制价/投标报价汇总表</w:t>
            </w:r>
          </w:p>
        </w:tc>
      </w:tr>
      <w:tr w:rsidR="005A7B05" w:rsidRPr="00DF3117" w:rsidTr="00A553A5">
        <w:trPr>
          <w:trHeight w:val="505"/>
          <w:jc w:val="center"/>
        </w:trPr>
        <w:tc>
          <w:tcPr>
            <w:tcW w:w="6536" w:type="dxa"/>
            <w:gridSpan w:val="2"/>
            <w:tcBorders>
              <w:bottom w:val="single" w:sz="4" w:space="0" w:color="auto"/>
            </w:tcBorders>
            <w:shd w:val="clear" w:color="auto" w:fill="auto"/>
            <w:vAlign w:val="center"/>
            <w:hideMark/>
          </w:tcPr>
          <w:p w:rsidR="005A7B05" w:rsidRPr="00DF3117" w:rsidRDefault="005A7B05" w:rsidP="00A553A5">
            <w:pPr>
              <w:widowControl/>
              <w:jc w:val="left"/>
              <w:rPr>
                <w:rFonts w:ascii="宋体" w:hAnsi="宋体" w:cs="宋体"/>
                <w:color w:val="000000"/>
                <w:kern w:val="0"/>
                <w:sz w:val="22"/>
              </w:rPr>
            </w:pPr>
            <w:r w:rsidRPr="00DF3117">
              <w:rPr>
                <w:rFonts w:ascii="宋体" w:hAnsi="宋体" w:cs="宋体" w:hint="eastAsia"/>
                <w:color w:val="000000"/>
                <w:kern w:val="0"/>
                <w:sz w:val="22"/>
              </w:rPr>
              <w:t>工程名称：                     标段：</w:t>
            </w:r>
          </w:p>
        </w:tc>
        <w:tc>
          <w:tcPr>
            <w:tcW w:w="2319" w:type="dxa"/>
            <w:gridSpan w:val="4"/>
            <w:tcBorders>
              <w:bottom w:val="single" w:sz="4" w:space="0" w:color="auto"/>
            </w:tcBorders>
            <w:shd w:val="clear" w:color="auto" w:fill="auto"/>
            <w:noWrap/>
            <w:vAlign w:val="center"/>
            <w:hideMark/>
          </w:tcPr>
          <w:p w:rsidR="005A7B05" w:rsidRPr="00DF3117" w:rsidRDefault="005A7B05" w:rsidP="00A553A5">
            <w:pPr>
              <w:widowControl/>
              <w:jc w:val="right"/>
              <w:rPr>
                <w:rFonts w:ascii="宋体" w:hAnsi="宋体" w:cs="宋体"/>
                <w:color w:val="000000"/>
                <w:kern w:val="0"/>
                <w:sz w:val="22"/>
              </w:rPr>
            </w:pPr>
            <w:r w:rsidRPr="00DF3117">
              <w:rPr>
                <w:rFonts w:ascii="宋体" w:hAnsi="宋体" w:cs="宋体" w:hint="eastAsia"/>
                <w:color w:val="000000"/>
                <w:kern w:val="0"/>
                <w:sz w:val="22"/>
              </w:rPr>
              <w:t>第  页 共  页</w:t>
            </w:r>
          </w:p>
        </w:tc>
      </w:tr>
      <w:tr w:rsidR="005A7B05" w:rsidRPr="00DF3117" w:rsidTr="00A553A5">
        <w:trPr>
          <w:trHeight w:val="697"/>
          <w:jc w:val="center"/>
        </w:trPr>
        <w:tc>
          <w:tcPr>
            <w:tcW w:w="1200" w:type="dxa"/>
            <w:tcBorders>
              <w:top w:val="single" w:sz="4" w:space="0" w:color="auto"/>
              <w:left w:val="single" w:sz="4" w:space="0" w:color="auto"/>
              <w:bottom w:val="nil"/>
              <w:right w:val="nil"/>
            </w:tcBorders>
            <w:shd w:val="clear" w:color="auto" w:fill="auto"/>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序号</w:t>
            </w:r>
          </w:p>
        </w:tc>
        <w:tc>
          <w:tcPr>
            <w:tcW w:w="5336" w:type="dxa"/>
            <w:tcBorders>
              <w:top w:val="single" w:sz="4" w:space="0" w:color="auto"/>
              <w:left w:val="single" w:sz="4" w:space="0" w:color="auto"/>
              <w:bottom w:val="nil"/>
              <w:right w:val="nil"/>
            </w:tcBorders>
            <w:shd w:val="clear" w:color="auto" w:fill="auto"/>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汇总内容</w:t>
            </w:r>
          </w:p>
        </w:tc>
        <w:tc>
          <w:tcPr>
            <w:tcW w:w="876" w:type="dxa"/>
            <w:gridSpan w:val="2"/>
            <w:tcBorders>
              <w:top w:val="single" w:sz="4" w:space="0" w:color="auto"/>
              <w:left w:val="single" w:sz="4" w:space="0" w:color="auto"/>
              <w:bottom w:val="nil"/>
              <w:right w:val="nil"/>
            </w:tcBorders>
            <w:shd w:val="clear" w:color="auto" w:fill="auto"/>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金额（元）</w:t>
            </w:r>
          </w:p>
        </w:tc>
        <w:tc>
          <w:tcPr>
            <w:tcW w:w="1443" w:type="dxa"/>
            <w:gridSpan w:val="2"/>
            <w:tcBorders>
              <w:top w:val="single" w:sz="4" w:space="0" w:color="auto"/>
              <w:left w:val="single" w:sz="4" w:space="0" w:color="auto"/>
              <w:bottom w:val="nil"/>
              <w:right w:val="single" w:sz="4" w:space="0" w:color="auto"/>
            </w:tcBorders>
            <w:shd w:val="clear" w:color="auto" w:fill="auto"/>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其中：暂估价（元）</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1 </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分部分项及单价措施项目</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1.1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建筑工程</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1.2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1.3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1.4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2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总价措施项目</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bottom"/>
            <w:hideMark/>
          </w:tcPr>
          <w:p w:rsidR="005A7B05" w:rsidRPr="00DF3117" w:rsidRDefault="005A7B05" w:rsidP="00A553A5">
            <w:pPr>
              <w:widowControl/>
              <w:spacing w:line="260" w:lineRule="exact"/>
              <w:ind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2.1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其中：安全文明施工费</w:t>
            </w:r>
          </w:p>
        </w:tc>
        <w:tc>
          <w:tcPr>
            <w:tcW w:w="876" w:type="dxa"/>
            <w:gridSpan w:val="2"/>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ind w:right="22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3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其他项目</w:t>
            </w:r>
          </w:p>
        </w:tc>
        <w:tc>
          <w:tcPr>
            <w:tcW w:w="876" w:type="dxa"/>
            <w:gridSpan w:val="2"/>
            <w:tcBorders>
              <w:top w:val="single" w:sz="4" w:space="0" w:color="auto"/>
              <w:left w:val="single" w:sz="4" w:space="0" w:color="auto"/>
              <w:bottom w:val="nil"/>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bottom"/>
            <w:hideMark/>
          </w:tcPr>
          <w:p w:rsidR="005A7B05" w:rsidRPr="00DF3117" w:rsidRDefault="005A7B05" w:rsidP="00A553A5">
            <w:pPr>
              <w:widowControl/>
              <w:spacing w:line="260" w:lineRule="exact"/>
              <w:ind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3.1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其中：暂列金额</w:t>
            </w:r>
          </w:p>
        </w:tc>
        <w:tc>
          <w:tcPr>
            <w:tcW w:w="876" w:type="dxa"/>
            <w:gridSpan w:val="2"/>
            <w:tcBorders>
              <w:top w:val="single" w:sz="4" w:space="0" w:color="auto"/>
              <w:left w:val="single" w:sz="4" w:space="0" w:color="auto"/>
              <w:bottom w:val="nil"/>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single" w:sz="4" w:space="0" w:color="auto"/>
              <w:left w:val="single" w:sz="4" w:space="0" w:color="auto"/>
              <w:bottom w:val="nil"/>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3.2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其中：专业工程暂估价</w:t>
            </w:r>
          </w:p>
        </w:tc>
        <w:tc>
          <w:tcPr>
            <w:tcW w:w="876" w:type="dxa"/>
            <w:gridSpan w:val="2"/>
            <w:tcBorders>
              <w:top w:val="single" w:sz="4" w:space="0" w:color="auto"/>
              <w:left w:val="single" w:sz="4" w:space="0" w:color="auto"/>
              <w:bottom w:val="nil"/>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nil"/>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single" w:sz="4" w:space="0" w:color="auto"/>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3.3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其中：计日工</w:t>
            </w:r>
          </w:p>
        </w:tc>
        <w:tc>
          <w:tcPr>
            <w:tcW w:w="876" w:type="dxa"/>
            <w:gridSpan w:val="2"/>
            <w:tcBorders>
              <w:top w:val="single" w:sz="4" w:space="0" w:color="auto"/>
              <w:left w:val="single" w:sz="4" w:space="0" w:color="auto"/>
              <w:bottom w:val="single" w:sz="4" w:space="0" w:color="auto"/>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3.4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其中：总承包服务费</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nil"/>
              <w:left w:val="single" w:sz="4" w:space="0" w:color="auto"/>
              <w:bottom w:val="single" w:sz="4" w:space="0" w:color="auto"/>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4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proofErr w:type="gramStart"/>
            <w:r w:rsidRPr="00DF3117">
              <w:rPr>
                <w:rFonts w:ascii="宋体" w:hAnsi="宋体" w:cs="宋体" w:hint="eastAsia"/>
                <w:color w:val="000000"/>
                <w:kern w:val="0"/>
                <w:sz w:val="22"/>
              </w:rPr>
              <w:t>规</w:t>
            </w:r>
            <w:proofErr w:type="gramEnd"/>
            <w:r w:rsidRPr="00DF3117">
              <w:rPr>
                <w:rFonts w:ascii="宋体" w:hAnsi="宋体" w:cs="宋体" w:hint="eastAsia"/>
                <w:color w:val="000000"/>
                <w:kern w:val="0"/>
                <w:sz w:val="22"/>
              </w:rPr>
              <w:t>费</w:t>
            </w:r>
          </w:p>
        </w:tc>
        <w:tc>
          <w:tcPr>
            <w:tcW w:w="876" w:type="dxa"/>
            <w:gridSpan w:val="2"/>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nil"/>
              <w:left w:val="single" w:sz="4" w:space="0" w:color="auto"/>
              <w:bottom w:val="single" w:sz="4" w:space="0" w:color="auto"/>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5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创优质工程奖补偿奖励费</w:t>
            </w:r>
          </w:p>
        </w:tc>
        <w:tc>
          <w:tcPr>
            <w:tcW w:w="876" w:type="dxa"/>
            <w:gridSpan w:val="2"/>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nil"/>
              <w:left w:val="single" w:sz="4" w:space="0" w:color="auto"/>
              <w:bottom w:val="single" w:sz="4" w:space="0" w:color="auto"/>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 xml:space="preserve">6 </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税前工程造价</w:t>
            </w:r>
          </w:p>
        </w:tc>
        <w:tc>
          <w:tcPr>
            <w:tcW w:w="876" w:type="dxa"/>
            <w:gridSpan w:val="2"/>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nil"/>
              <w:left w:val="single" w:sz="4" w:space="0" w:color="auto"/>
              <w:bottom w:val="single" w:sz="4" w:space="0" w:color="auto"/>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1200" w:type="dxa"/>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2"/>
              </w:rPr>
              <w:t>7</w:t>
            </w:r>
          </w:p>
        </w:tc>
        <w:tc>
          <w:tcPr>
            <w:tcW w:w="5336" w:type="dxa"/>
            <w:tcBorders>
              <w:top w:val="nil"/>
              <w:left w:val="single" w:sz="4" w:space="0" w:color="auto"/>
              <w:bottom w:val="single" w:sz="4" w:space="0" w:color="auto"/>
              <w:right w:val="single" w:sz="4" w:space="0" w:color="auto"/>
            </w:tcBorders>
            <w:shd w:val="clear" w:color="auto" w:fill="auto"/>
            <w:vAlign w:val="center"/>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销项增值税额</w:t>
            </w:r>
          </w:p>
        </w:tc>
        <w:tc>
          <w:tcPr>
            <w:tcW w:w="876" w:type="dxa"/>
            <w:gridSpan w:val="2"/>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nil"/>
              <w:left w:val="single" w:sz="4" w:space="0" w:color="auto"/>
              <w:bottom w:val="single" w:sz="4" w:space="0" w:color="auto"/>
              <w:right w:val="single" w:sz="4" w:space="0" w:color="auto"/>
            </w:tcBorders>
            <w:shd w:val="clear" w:color="auto" w:fill="auto"/>
            <w:noWrap/>
            <w:vAlign w:val="center"/>
            <w:hideMark/>
          </w:tcPr>
          <w:p w:rsidR="005A7B05" w:rsidRPr="00DF3117" w:rsidRDefault="005A7B05" w:rsidP="00A553A5">
            <w:pPr>
              <w:widowControl/>
              <w:spacing w:line="260" w:lineRule="exact"/>
              <w:ind w:right="330" w:firstLineChars="200" w:firstLine="440"/>
              <w:jc w:val="left"/>
              <w:rPr>
                <w:rFonts w:ascii="宋体" w:hAnsi="宋体" w:cs="宋体"/>
                <w:color w:val="000000"/>
                <w:kern w:val="0"/>
                <w:sz w:val="22"/>
              </w:rPr>
            </w:pPr>
            <w:r w:rsidRPr="00DF3117">
              <w:rPr>
                <w:rFonts w:ascii="宋体" w:hAnsi="宋体" w:cs="宋体" w:hint="eastAsia"/>
                <w:color w:val="000000"/>
                <w:kern w:val="0"/>
                <w:sz w:val="22"/>
              </w:rPr>
              <w:t>—</w:t>
            </w:r>
          </w:p>
        </w:tc>
      </w:tr>
      <w:tr w:rsidR="005A7B05" w:rsidRPr="00DF3117" w:rsidTr="00A553A5">
        <w:trPr>
          <w:trHeight w:val="454"/>
          <w:jc w:val="center"/>
        </w:trPr>
        <w:tc>
          <w:tcPr>
            <w:tcW w:w="6536" w:type="dxa"/>
            <w:gridSpan w:val="2"/>
            <w:tcBorders>
              <w:top w:val="nil"/>
              <w:left w:val="single" w:sz="4" w:space="0" w:color="auto"/>
              <w:bottom w:val="single" w:sz="4" w:space="0" w:color="auto"/>
              <w:right w:val="nil"/>
            </w:tcBorders>
            <w:shd w:val="clear" w:color="auto" w:fill="auto"/>
            <w:vAlign w:val="center"/>
            <w:hideMark/>
          </w:tcPr>
          <w:p w:rsidR="005A7B05" w:rsidRPr="00DF3117" w:rsidRDefault="005A7B05" w:rsidP="00A553A5">
            <w:pPr>
              <w:widowControl/>
              <w:spacing w:line="260" w:lineRule="exact"/>
              <w:jc w:val="center"/>
              <w:rPr>
                <w:rFonts w:ascii="宋体" w:hAnsi="宋体" w:cs="宋体"/>
                <w:color w:val="000000"/>
                <w:kern w:val="0"/>
                <w:sz w:val="22"/>
              </w:rPr>
            </w:pPr>
            <w:r w:rsidRPr="00DF3117">
              <w:rPr>
                <w:rFonts w:ascii="宋体" w:hAnsi="宋体" w:cs="宋体" w:hint="eastAsia"/>
                <w:color w:val="000000"/>
                <w:kern w:val="0"/>
                <w:sz w:val="20"/>
              </w:rPr>
              <w:t>招标控制价/投标报价总价合计＝税前工程造价+销项增值税额</w:t>
            </w:r>
          </w:p>
        </w:tc>
        <w:tc>
          <w:tcPr>
            <w:tcW w:w="876" w:type="dxa"/>
            <w:gridSpan w:val="2"/>
            <w:tcBorders>
              <w:top w:val="nil"/>
              <w:left w:val="single" w:sz="4" w:space="0" w:color="auto"/>
              <w:bottom w:val="single" w:sz="4" w:space="0" w:color="auto"/>
              <w:right w:val="nil"/>
            </w:tcBorders>
            <w:shd w:val="clear" w:color="auto" w:fill="auto"/>
            <w:noWrap/>
            <w:vAlign w:val="center"/>
            <w:hideMark/>
          </w:tcPr>
          <w:p w:rsidR="005A7B05" w:rsidRPr="00DF3117" w:rsidRDefault="005A7B05" w:rsidP="00A553A5">
            <w:pPr>
              <w:widowControl/>
              <w:spacing w:line="260" w:lineRule="exact"/>
              <w:jc w:val="right"/>
              <w:rPr>
                <w:rFonts w:ascii="宋体" w:hAnsi="宋体" w:cs="宋体"/>
                <w:color w:val="000000"/>
                <w:kern w:val="0"/>
                <w:sz w:val="22"/>
              </w:rPr>
            </w:pPr>
            <w:r w:rsidRPr="00DF3117">
              <w:rPr>
                <w:rFonts w:ascii="宋体" w:hAnsi="宋体" w:cs="宋体" w:hint="eastAsia"/>
                <w:color w:val="000000"/>
                <w:kern w:val="0"/>
                <w:sz w:val="22"/>
              </w:rPr>
              <w:t xml:space="preserve">　</w:t>
            </w:r>
          </w:p>
        </w:tc>
        <w:tc>
          <w:tcPr>
            <w:tcW w:w="1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5A7B05" w:rsidRPr="00DF3117" w:rsidRDefault="005A7B05" w:rsidP="00A553A5">
            <w:pPr>
              <w:widowControl/>
              <w:spacing w:line="260" w:lineRule="exact"/>
              <w:jc w:val="left"/>
              <w:rPr>
                <w:rFonts w:ascii="宋体" w:hAnsi="宋体" w:cs="宋体"/>
                <w:color w:val="000000"/>
                <w:kern w:val="0"/>
                <w:sz w:val="22"/>
              </w:rPr>
            </w:pPr>
            <w:r w:rsidRPr="00DF3117">
              <w:rPr>
                <w:rFonts w:ascii="宋体" w:hAnsi="宋体" w:cs="宋体" w:hint="eastAsia"/>
                <w:color w:val="000000"/>
                <w:kern w:val="0"/>
                <w:sz w:val="22"/>
              </w:rPr>
              <w:t xml:space="preserve">　</w:t>
            </w:r>
          </w:p>
        </w:tc>
      </w:tr>
      <w:tr w:rsidR="005A7B05" w:rsidRPr="00DF3117" w:rsidTr="00A553A5">
        <w:trPr>
          <w:trHeight w:val="435"/>
          <w:jc w:val="center"/>
        </w:trPr>
        <w:tc>
          <w:tcPr>
            <w:tcW w:w="8855" w:type="dxa"/>
            <w:gridSpan w:val="6"/>
            <w:tcBorders>
              <w:top w:val="single" w:sz="4" w:space="0" w:color="auto"/>
              <w:left w:val="nil"/>
              <w:bottom w:val="nil"/>
              <w:right w:val="nil"/>
            </w:tcBorders>
            <w:shd w:val="clear" w:color="auto" w:fill="auto"/>
            <w:vAlign w:val="center"/>
            <w:hideMark/>
          </w:tcPr>
          <w:p w:rsidR="005A7B05" w:rsidRPr="00D56A0C" w:rsidRDefault="005A7B05" w:rsidP="00A553A5">
            <w:pPr>
              <w:spacing w:line="360" w:lineRule="auto"/>
              <w:rPr>
                <w:rFonts w:ascii="宋体" w:hAnsi="宋体"/>
              </w:rPr>
            </w:pPr>
            <w:r w:rsidRPr="00DF3117">
              <w:rPr>
                <w:rFonts w:ascii="宋体" w:hAnsi="宋体" w:hint="eastAsia"/>
              </w:rPr>
              <w:t>注意：1.本表适用于单位工程招标控制价或投标报价的汇总，如无单位工程划分，单项工程也使用本表汇总；2.税前工程造价6=1+2+3+4+5。</w:t>
            </w:r>
          </w:p>
        </w:tc>
      </w:tr>
    </w:tbl>
    <w:p w:rsidR="007B32F7" w:rsidRPr="005A7B05" w:rsidRDefault="007B32F7">
      <w:bookmarkStart w:id="24" w:name="_GoBack"/>
      <w:bookmarkEnd w:id="24"/>
    </w:p>
    <w:sectPr w:rsidR="007B32F7" w:rsidRPr="005A7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05"/>
    <w:rsid w:val="005A7B05"/>
    <w:rsid w:val="007B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4B29B-4D6D-492E-95FB-1C6A64C2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05"/>
    <w:pPr>
      <w:widowControl w:val="0"/>
      <w:jc w:val="both"/>
    </w:pPr>
    <w:rPr>
      <w:rFonts w:ascii="Calibri" w:eastAsia="宋体" w:hAnsi="Calibri" w:cs="Times New Roman"/>
    </w:rPr>
  </w:style>
  <w:style w:type="paragraph" w:styleId="1">
    <w:name w:val="heading 1"/>
    <w:basedOn w:val="a"/>
    <w:next w:val="a"/>
    <w:link w:val="1Char"/>
    <w:uiPriority w:val="9"/>
    <w:qFormat/>
    <w:rsid w:val="005A7B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7B05"/>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1192</Words>
  <Characters>6799</Characters>
  <Application>Microsoft Office Word</Application>
  <DocSecurity>0</DocSecurity>
  <Lines>56</Lines>
  <Paragraphs>15</Paragraphs>
  <ScaleCrop>false</ScaleCrop>
  <Company>Sky123.Org</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2016-12-08T11:19:00Z</dcterms:created>
  <dcterms:modified xsi:type="dcterms:W3CDTF">2016-12-08T11:19:00Z</dcterms:modified>
</cp:coreProperties>
</file>